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bookmarkStart w:name="_Hlk513888571" w:id="0"/>
    <w:bookmarkEnd w:id="0"/>
    <w:p w:rsidRPr="00E86170" w:rsidR="00431F09" w:rsidP="00431F09" w:rsidRDefault="00431F09" w14:paraId="35FB5B1E" w14:textId="77777777">
      <w:pPr>
        <w:rPr>
          <w:szCs w:val="24"/>
        </w:rPr>
      </w:pPr>
    </w:p>
    <w:p w:rsidRPr="0062114A" w:rsidR="0062114A" w:rsidP="0091486D" w:rsidRDefault="0062114A" w14:paraId="6E61539F" w14:textId="7032AE6B">
      <w:pPr>
        <w:spacing w:line="480" w:lineRule="auto"/>
        <w:jc w:val="center"/>
        <w:rPr>
          <w:b/>
          <w:u w:val="single"/>
        </w:rPr>
      </w:pPr>
      <w:r w:rsidRPr="0062114A">
        <w:rPr>
          <w:b/>
          <w:bCs/>
          <w:szCs w:val="24"/>
          <w:u w:val="single"/>
        </w:rPr>
        <w:t>MOTION TO PRODUCE</w:t>
      </w:r>
    </w:p>
    <w:p w:rsidRPr="0062114A" w:rsidR="0062114A" w:rsidP="0062114A" w:rsidRDefault="0062114A" w14:paraId="26D1E2D7" w14:textId="424FDB35">
      <w:pPr>
        <w:spacing w:line="480" w:lineRule="auto"/>
        <w:rPr>
          <w:szCs w:val="24"/>
        </w:rPr>
      </w:pPr>
      <w:r w:rsidRPr="0062114A">
        <w:tab/>
      </w:r>
      <w:r w:rsidRPr="0062114A">
        <w:t xml:space="preserve">COMES NOW, the Defendant, by counsel, </w:t>
      </w:r>
      <w:r w:rsidRPr="0062114A">
        <w:rPr>
          <w:szCs w:val="24"/>
        </w:rPr>
        <w:t>and pursuant to Trial Rule 34 of the Indiana Rules of Trial Procedure</w:t>
      </w:r>
      <w:r w:rsidRPr="0062114A">
        <w:t xml:space="preserve"> </w:t>
      </w:r>
      <w:r w:rsidRPr="0062114A">
        <w:rPr>
          <w:szCs w:val="24"/>
        </w:rPr>
        <w:t xml:space="preserve">moves that the State </w:t>
      </w:r>
      <w:r w:rsidRPr="0062114A">
        <w:t xml:space="preserve">disclose and furnish, and in the case of a tangible item, to produce for examination, inspection, and copying, </w:t>
      </w:r>
      <w:r w:rsidRPr="0062114A">
        <w:rPr>
          <w:szCs w:val="24"/>
        </w:rPr>
        <w:t xml:space="preserve">within </w:t>
      </w:r>
      <w:r w:rsidR="003A5D2D">
        <w:rPr>
          <w:szCs w:val="24"/>
        </w:rPr>
        <w:t>thirty (30) days</w:t>
      </w:r>
      <w:r w:rsidRPr="0062114A">
        <w:t>, the following:</w:t>
      </w:r>
      <w:r w:rsidRPr="0062114A">
        <w:rPr>
          <w:szCs w:val="24"/>
        </w:rPr>
        <w:t xml:space="preserve"> </w:t>
      </w:r>
    </w:p>
    <w:p w:rsidRPr="0062114A" w:rsidR="0062114A" w:rsidP="0062114A" w:rsidRDefault="0062114A" w14:paraId="5CF8111E" w14:textId="77777777">
      <w:pPr>
        <w:rPr>
          <w:szCs w:val="24"/>
        </w:rPr>
      </w:pPr>
    </w:p>
    <w:p w:rsidRPr="0062114A" w:rsidR="0062114A" w:rsidP="0062114A" w:rsidRDefault="0062114A" w14:paraId="33B5A2E3" w14:textId="77777777">
      <w:pPr>
        <w:widowControl w:val="0"/>
        <w:tabs>
          <w:tab w:val="left" w:pos="0"/>
          <w:tab w:val="left" w:pos="720"/>
        </w:tabs>
        <w:spacing w:line="480" w:lineRule="auto"/>
        <w:rPr>
          <w:snapToGrid w:val="0"/>
        </w:rPr>
      </w:pPr>
      <w:r w:rsidRPr="0062114A">
        <w:rPr>
          <w:snapToGrid w:val="0"/>
        </w:rPr>
        <w:tab/>
      </w:r>
      <w:r w:rsidRPr="0062114A">
        <w:rPr>
          <w:snapToGrid w:val="0"/>
        </w:rPr>
        <w:t>1.</w:t>
      </w:r>
      <w:r w:rsidRPr="0062114A">
        <w:rPr>
          <w:snapToGrid w:val="0"/>
        </w:rPr>
        <w:tab/>
      </w:r>
      <w:r w:rsidRPr="0062114A">
        <w:rPr>
          <w:snapToGrid w:val="0"/>
        </w:rPr>
        <w:t>The names and last known addresses of all persons whom the State plans to call to testify at trial or at any hearing in this cause of action, including witnesses the State reasonably foresees calling as rebuttal witnesses.</w:t>
      </w:r>
    </w:p>
    <w:p w:rsidRPr="0062114A" w:rsidR="0062114A" w:rsidP="0062114A" w:rsidRDefault="0062114A" w14:paraId="7D18FEBC" w14:textId="1C56FCF3">
      <w:pPr>
        <w:widowControl w:val="0"/>
        <w:tabs>
          <w:tab w:val="left" w:pos="0"/>
          <w:tab w:val="left" w:pos="720"/>
        </w:tabs>
        <w:spacing w:line="480" w:lineRule="auto"/>
        <w:rPr>
          <w:snapToGrid w:val="0"/>
        </w:rPr>
      </w:pPr>
      <w:r w:rsidRPr="0062114A">
        <w:rPr>
          <w:snapToGrid w:val="0"/>
        </w:rPr>
        <w:tab/>
      </w:r>
      <w:r w:rsidR="00745987">
        <w:rPr>
          <w:snapToGrid w:val="0"/>
        </w:rPr>
        <w:t>2</w:t>
      </w:r>
      <w:r w:rsidRPr="0062114A">
        <w:rPr>
          <w:snapToGrid w:val="0"/>
        </w:rPr>
        <w:t>.</w:t>
      </w:r>
      <w:r w:rsidRPr="0062114A">
        <w:rPr>
          <w:snapToGrid w:val="0"/>
        </w:rPr>
        <w:tab/>
      </w:r>
      <w:r w:rsidRPr="0062114A">
        <w:rPr>
          <w:snapToGrid w:val="0"/>
        </w:rPr>
        <w:t>Copies of any substantially verbatim statements regarding this case made by any witness</w:t>
      </w:r>
      <w:r w:rsidR="0046434B">
        <w:rPr>
          <w:snapToGrid w:val="0"/>
        </w:rPr>
        <w:t xml:space="preserve">es </w:t>
      </w:r>
      <w:r w:rsidRPr="0062114A">
        <w:rPr>
          <w:snapToGrid w:val="0"/>
        </w:rPr>
        <w:t>in this cause of action, including witnesses the State reasonably foresees calling as rebuttal witnesses.</w:t>
      </w:r>
    </w:p>
    <w:p w:rsidRPr="0062114A" w:rsidR="0062114A" w:rsidP="0062114A" w:rsidRDefault="0062114A" w14:paraId="42F15F2B" w14:textId="0E526421">
      <w:pPr>
        <w:widowControl w:val="0"/>
        <w:tabs>
          <w:tab w:val="left" w:pos="0"/>
          <w:tab w:val="left" w:pos="720"/>
        </w:tabs>
        <w:spacing w:line="480" w:lineRule="auto"/>
        <w:rPr>
          <w:snapToGrid w:val="0"/>
        </w:rPr>
      </w:pPr>
      <w:r w:rsidRPr="0062114A">
        <w:rPr>
          <w:snapToGrid w:val="0"/>
        </w:rPr>
        <w:tab/>
      </w:r>
      <w:r w:rsidR="00745987">
        <w:rPr>
          <w:snapToGrid w:val="0"/>
        </w:rPr>
        <w:t>3</w:t>
      </w:r>
      <w:r w:rsidRPr="0062114A">
        <w:rPr>
          <w:snapToGrid w:val="0"/>
        </w:rPr>
        <w:t>.</w:t>
      </w:r>
      <w:r w:rsidRPr="0062114A">
        <w:rPr>
          <w:snapToGrid w:val="0"/>
        </w:rPr>
        <w:tab/>
      </w:r>
      <w:r w:rsidRPr="0062114A">
        <w:rPr>
          <w:snapToGrid w:val="0"/>
        </w:rPr>
        <w:t>A list of all exhibits the State intends to use or may offer into evidence at trial or at any hearing.</w:t>
      </w:r>
    </w:p>
    <w:p w:rsidRPr="0062114A" w:rsidR="0062114A" w:rsidP="0062114A" w:rsidRDefault="0062114A" w14:paraId="40DCCB9D" w14:textId="4C397944">
      <w:pPr>
        <w:widowControl w:val="0"/>
        <w:tabs>
          <w:tab w:val="left" w:pos="0"/>
          <w:tab w:val="left" w:pos="720"/>
        </w:tabs>
        <w:spacing w:line="480" w:lineRule="auto"/>
        <w:rPr>
          <w:snapToGrid w:val="0"/>
        </w:rPr>
      </w:pPr>
      <w:r w:rsidRPr="0062114A">
        <w:rPr>
          <w:snapToGrid w:val="0"/>
        </w:rPr>
        <w:tab/>
      </w:r>
      <w:r w:rsidR="00745987">
        <w:rPr>
          <w:snapToGrid w:val="0"/>
        </w:rPr>
        <w:t>4</w:t>
      </w:r>
      <w:r w:rsidRPr="0062114A">
        <w:rPr>
          <w:snapToGrid w:val="0"/>
        </w:rPr>
        <w:t>.</w:t>
      </w:r>
      <w:r w:rsidRPr="0062114A">
        <w:rPr>
          <w:snapToGrid w:val="0"/>
        </w:rPr>
        <w:tab/>
      </w:r>
      <w:r w:rsidRPr="0062114A">
        <w:rPr>
          <w:snapToGrid w:val="0"/>
        </w:rPr>
        <w:t>True copies of all photographs</w:t>
      </w:r>
      <w:r w:rsidR="00D22A81">
        <w:rPr>
          <w:snapToGrid w:val="0"/>
        </w:rPr>
        <w:t xml:space="preserve">, </w:t>
      </w:r>
      <w:r w:rsidR="00745987">
        <w:rPr>
          <w:snapToGrid w:val="0"/>
        </w:rPr>
        <w:t>videos</w:t>
      </w:r>
      <w:r w:rsidR="00D22A81">
        <w:rPr>
          <w:snapToGrid w:val="0"/>
        </w:rPr>
        <w:t>, and any other exhibits</w:t>
      </w:r>
      <w:r w:rsidRPr="0062114A">
        <w:rPr>
          <w:snapToGrid w:val="0"/>
        </w:rPr>
        <w:t xml:space="preserve"> that the State intends to or may offer into evidence at the trial or any hearing in this cause of action</w:t>
      </w:r>
      <w:r w:rsidR="00B36701">
        <w:rPr>
          <w:snapToGrid w:val="0"/>
        </w:rPr>
        <w:t xml:space="preserve"> which have not already been provided as of the date of this motion.</w:t>
      </w:r>
    </w:p>
    <w:p w:rsidR="00D22A81" w:rsidP="0062114A" w:rsidRDefault="0062114A" w14:paraId="310B4C6F" w14:textId="140633AD">
      <w:pPr>
        <w:widowControl w:val="0"/>
        <w:tabs>
          <w:tab w:val="left" w:pos="0"/>
          <w:tab w:val="left" w:pos="720"/>
        </w:tabs>
        <w:spacing w:line="480" w:lineRule="auto"/>
        <w:rPr>
          <w:snapToGrid w:val="0"/>
        </w:rPr>
      </w:pPr>
      <w:r w:rsidRPr="0062114A">
        <w:rPr>
          <w:snapToGrid w:val="0"/>
        </w:rPr>
        <w:tab/>
      </w:r>
      <w:r w:rsidR="00745987">
        <w:rPr>
          <w:snapToGrid w:val="0"/>
        </w:rPr>
        <w:t>5</w:t>
      </w:r>
      <w:r w:rsidRPr="0062114A">
        <w:rPr>
          <w:snapToGrid w:val="0"/>
        </w:rPr>
        <w:t>.</w:t>
      </w:r>
      <w:r w:rsidRPr="0062114A">
        <w:rPr>
          <w:snapToGrid w:val="0"/>
        </w:rPr>
        <w:tab/>
      </w:r>
      <w:r w:rsidRPr="0062114A">
        <w:rPr>
          <w:snapToGrid w:val="0"/>
        </w:rPr>
        <w:t xml:space="preserve">Wherever feasible, copies of all tangible or demonstrative objects, books, papers, documents, video or audio recordings, including audio recordings of any radio traffic, 911 calls, </w:t>
      </w:r>
      <w:r w:rsidRPr="0062114A">
        <w:rPr>
          <w:snapToGrid w:val="0"/>
        </w:rPr>
        <w:lastRenderedPageBreak/>
        <w:t>or other communications, related to the alleged incident that is the subject of this cas</w:t>
      </w:r>
      <w:r w:rsidR="00B36701">
        <w:rPr>
          <w:snapToGrid w:val="0"/>
        </w:rPr>
        <w:t>e that have not already been provided</w:t>
      </w:r>
      <w:r w:rsidR="001E79A5">
        <w:rPr>
          <w:snapToGrid w:val="0"/>
        </w:rPr>
        <w:t xml:space="preserve"> to the Defemdant</w:t>
      </w:r>
      <w:r w:rsidR="00B36701">
        <w:rPr>
          <w:snapToGrid w:val="0"/>
        </w:rPr>
        <w:t>,</w:t>
      </w:r>
      <w:r w:rsidRPr="0062114A">
        <w:rPr>
          <w:snapToGrid w:val="0"/>
        </w:rPr>
        <w:t xml:space="preserve"> including specifically, but not limited to</w:t>
      </w:r>
      <w:r w:rsidR="00D22A81">
        <w:rPr>
          <w:snapToGrid w:val="0"/>
        </w:rPr>
        <w:t>:</w:t>
      </w:r>
    </w:p>
    <w:p w:rsidR="0062114A" w:rsidP="00D22A81" w:rsidRDefault="00D22A81" w14:paraId="717C1B73" w14:textId="5537CB57">
      <w:pPr>
        <w:widowControl w:val="0"/>
        <w:tabs>
          <w:tab w:val="left" w:pos="0"/>
          <w:tab w:val="left" w:pos="720"/>
        </w:tabs>
        <w:spacing w:line="480" w:lineRule="auto"/>
        <w:ind w:left="720"/>
        <w:rPr>
          <w:snapToGrid w:val="0"/>
        </w:rPr>
      </w:pPr>
      <w:r>
        <w:rPr>
          <w:snapToGrid w:val="0"/>
        </w:rPr>
        <w:t>a.</w:t>
      </w:r>
      <w:r>
        <w:rPr>
          <w:snapToGrid w:val="0"/>
        </w:rPr>
        <w:tab/>
      </w:r>
      <w:r>
        <w:rPr>
          <w:snapToGrid w:val="0"/>
        </w:rPr>
        <w:t>A</w:t>
      </w:r>
      <w:r w:rsidRPr="0062114A" w:rsidR="0062114A">
        <w:rPr>
          <w:snapToGrid w:val="0"/>
        </w:rPr>
        <w:t xml:space="preserve">ny “in-car” </w:t>
      </w:r>
      <w:r w:rsidR="00D122BF">
        <w:rPr>
          <w:snapToGrid w:val="0"/>
        </w:rPr>
        <w:t xml:space="preserve">or “body cam” </w:t>
      </w:r>
      <w:r w:rsidRPr="0062114A" w:rsidR="0062114A">
        <w:rPr>
          <w:snapToGrid w:val="0"/>
        </w:rPr>
        <w:t>video or audio recording, or any other video or audio recording of or from any officer involved in the arrest and/or detention of the Defendant, or</w:t>
      </w:r>
      <w:r w:rsidR="0046434B">
        <w:rPr>
          <w:snapToGrid w:val="0"/>
        </w:rPr>
        <w:t xml:space="preserve"> any witness</w:t>
      </w:r>
      <w:r w:rsidRPr="0062114A" w:rsidR="0062114A">
        <w:rPr>
          <w:snapToGrid w:val="0"/>
        </w:rPr>
        <w:t xml:space="preserve"> who was present at the scene of the Defendant’s arrest or detention, as well as any video or audio recording of the Defendant</w:t>
      </w:r>
      <w:r w:rsidR="00745987">
        <w:rPr>
          <w:snapToGrid w:val="0"/>
        </w:rPr>
        <w:t xml:space="preserve"> or any witness.</w:t>
      </w:r>
    </w:p>
    <w:p w:rsidR="00D22A81" w:rsidP="00D22A81" w:rsidRDefault="00D22A81" w14:paraId="58809F85" w14:textId="2FD771E4">
      <w:pPr>
        <w:widowControl w:val="0"/>
        <w:tabs>
          <w:tab w:val="left" w:pos="0"/>
          <w:tab w:val="left" w:pos="720"/>
        </w:tabs>
        <w:spacing w:line="480" w:lineRule="auto"/>
        <w:ind w:left="720"/>
        <w:rPr>
          <w:snapToGrid w:val="0"/>
        </w:rPr>
      </w:pPr>
      <w:r>
        <w:rPr>
          <w:snapToGrid w:val="0"/>
        </w:rPr>
        <w:t>b.</w:t>
      </w:r>
      <w:r>
        <w:rPr>
          <w:snapToGrid w:val="0"/>
        </w:rPr>
        <w:tab/>
      </w:r>
      <w:r>
        <w:rPr>
          <w:snapToGrid w:val="0"/>
        </w:rPr>
        <w:t>Law Enforcement Incident Reports</w:t>
      </w:r>
    </w:p>
    <w:p w:rsidR="00D22A81" w:rsidP="00D22A81" w:rsidRDefault="00D22A81" w14:paraId="7738FE08" w14:textId="66A867FB">
      <w:pPr>
        <w:widowControl w:val="0"/>
        <w:tabs>
          <w:tab w:val="left" w:pos="0"/>
          <w:tab w:val="left" w:pos="720"/>
        </w:tabs>
        <w:spacing w:line="480" w:lineRule="auto"/>
        <w:ind w:left="720"/>
        <w:rPr>
          <w:snapToGrid w:val="0"/>
        </w:rPr>
      </w:pPr>
      <w:r>
        <w:rPr>
          <w:snapToGrid w:val="0"/>
        </w:rPr>
        <w:t>c.</w:t>
      </w:r>
      <w:r>
        <w:rPr>
          <w:snapToGrid w:val="0"/>
        </w:rPr>
        <w:tab/>
      </w:r>
      <w:r>
        <w:rPr>
          <w:snapToGrid w:val="0"/>
        </w:rPr>
        <w:t>Event History, Run History, Computer Aided Dispatch, or other reports related to the dispatch of officers in this case</w:t>
      </w:r>
    </w:p>
    <w:p w:rsidR="00D22A81" w:rsidP="00D22A81" w:rsidRDefault="00D22A81" w14:paraId="65A9EF0F" w14:textId="08C339EA">
      <w:pPr>
        <w:widowControl w:val="0"/>
        <w:tabs>
          <w:tab w:val="left" w:pos="0"/>
          <w:tab w:val="left" w:pos="720"/>
        </w:tabs>
        <w:spacing w:line="480" w:lineRule="auto"/>
        <w:ind w:left="720"/>
        <w:rPr>
          <w:snapToGrid w:val="0"/>
        </w:rPr>
      </w:pPr>
      <w:r>
        <w:rPr>
          <w:snapToGrid w:val="0"/>
        </w:rPr>
        <w:t>d.</w:t>
      </w:r>
      <w:r>
        <w:rPr>
          <w:snapToGrid w:val="0"/>
        </w:rPr>
        <w:tab/>
      </w:r>
      <w:r>
        <w:rPr>
          <w:snapToGrid w:val="0"/>
        </w:rPr>
        <w:t>Victim Impact Statement, if any exists</w:t>
      </w:r>
    </w:p>
    <w:p w:rsidR="00D22A81" w:rsidP="00D22A81" w:rsidRDefault="00D22A81" w14:paraId="44918DCA" w14:textId="3239F25A">
      <w:pPr>
        <w:widowControl w:val="0"/>
        <w:tabs>
          <w:tab w:val="left" w:pos="0"/>
          <w:tab w:val="left" w:pos="720"/>
        </w:tabs>
        <w:spacing w:line="480" w:lineRule="auto"/>
        <w:ind w:left="720"/>
        <w:rPr>
          <w:snapToGrid w:val="0"/>
        </w:rPr>
      </w:pPr>
      <w:r>
        <w:rPr>
          <w:snapToGrid w:val="0"/>
        </w:rPr>
        <w:t>e.</w:t>
      </w:r>
      <w:r>
        <w:rPr>
          <w:snapToGrid w:val="0"/>
        </w:rPr>
        <w:tab/>
      </w:r>
      <w:r>
        <w:rPr>
          <w:snapToGrid w:val="0"/>
        </w:rPr>
        <w:t>Any chain of custody documentation for any exhibit the State intends to introduce at trial, if it exists</w:t>
      </w:r>
    </w:p>
    <w:p w:rsidR="00D22A81" w:rsidP="00D22A81" w:rsidRDefault="00D22A81" w14:paraId="66447221" w14:textId="7A0B1821">
      <w:pPr>
        <w:widowControl w:val="0"/>
        <w:tabs>
          <w:tab w:val="left" w:pos="0"/>
          <w:tab w:val="left" w:pos="720"/>
        </w:tabs>
        <w:spacing w:line="480" w:lineRule="auto"/>
        <w:ind w:left="720"/>
        <w:rPr>
          <w:snapToGrid w:val="0"/>
        </w:rPr>
      </w:pPr>
      <w:r>
        <w:rPr>
          <w:snapToGrid w:val="0"/>
        </w:rPr>
        <w:t>f.</w:t>
      </w:r>
      <w:r>
        <w:rPr>
          <w:snapToGrid w:val="0"/>
        </w:rPr>
        <w:tab/>
      </w:r>
      <w:r>
        <w:rPr>
          <w:snapToGrid w:val="0"/>
        </w:rPr>
        <w:t>Book-in records of the Defendant.</w:t>
      </w:r>
    </w:p>
    <w:p w:rsidR="00D22A81" w:rsidP="00D22A81" w:rsidRDefault="00D22A81" w14:paraId="16A9B1FC" w14:textId="6A47AAEE">
      <w:pPr>
        <w:widowControl w:val="0"/>
        <w:tabs>
          <w:tab w:val="left" w:pos="0"/>
          <w:tab w:val="left" w:pos="720"/>
        </w:tabs>
        <w:spacing w:line="480" w:lineRule="auto"/>
        <w:rPr>
          <w:snapToGrid w:val="0"/>
        </w:rPr>
      </w:pPr>
      <w:r>
        <w:rPr>
          <w:snapToGrid w:val="0"/>
        </w:rPr>
        <w:tab/>
      </w:r>
      <w:r>
        <w:rPr>
          <w:snapToGrid w:val="0"/>
        </w:rPr>
        <w:t>6.</w:t>
      </w:r>
      <w:r>
        <w:rPr>
          <w:snapToGrid w:val="0"/>
        </w:rPr>
        <w:tab/>
      </w:r>
      <w:r>
        <w:rPr>
          <w:snapToGrid w:val="0"/>
        </w:rPr>
        <w:t>True copies of the Defendant’s criminal history records, including criminal “crossmatch” from PCMS</w:t>
      </w:r>
      <w:r w:rsidR="003A5D2D">
        <w:rPr>
          <w:snapToGrid w:val="0"/>
        </w:rPr>
        <w:t>,</w:t>
      </w:r>
      <w:r>
        <w:rPr>
          <w:snapToGrid w:val="0"/>
        </w:rPr>
        <w:t xml:space="preserve"> and </w:t>
      </w:r>
      <w:r w:rsidR="003A5D2D">
        <w:rPr>
          <w:snapToGrid w:val="0"/>
        </w:rPr>
        <w:t>criminal history records obtained from and maintained by the Federal Bureau of Investigations (FBI) at the National Crime Information Center.</w:t>
      </w:r>
    </w:p>
    <w:p w:rsidR="005369CD" w:rsidP="00D16278" w:rsidRDefault="008E6861" w14:paraId="0DCBF688" w14:textId="11DDD577">
      <w:pPr>
        <w:pStyle w:val="NoSpacing"/>
        <w:spacing w:line="480" w:lineRule="auto"/>
      </w:pPr>
      <w:r>
        <w:tab/>
      </w:r>
      <w:r>
        <w:t>7.</w:t>
      </w:r>
      <w:r>
        <w:tab/>
      </w:r>
      <w:r w:rsidR="005369CD">
        <w:t xml:space="preserve">Any and all scientific conclusions </w:t>
      </w:r>
      <w:r w:rsidR="0007760D">
        <w:t xml:space="preserve">the </w:t>
      </w:r>
      <w:r w:rsidR="00B55B86">
        <w:t xml:space="preserve">State of Indiana </w:t>
      </w:r>
      <w:r w:rsidR="005369CD">
        <w:t>intends to offer at trial</w:t>
      </w:r>
      <w:r w:rsidR="00D16278">
        <w:t xml:space="preserve"> from the Indiana State Police Laboratory Division or its agents</w:t>
      </w:r>
      <w:r w:rsidR="005369CD">
        <w:t xml:space="preserve">; with regards to any witness the State intends to call from </w:t>
      </w:r>
      <w:r w:rsidR="00D6127D">
        <w:t xml:space="preserve">the </w:t>
      </w:r>
      <w:r w:rsidR="00A634D8">
        <w:t xml:space="preserve">Indiana State Police Laboratory Division, or any </w:t>
      </w:r>
      <w:r w:rsidR="003F512B">
        <w:t>person who</w:t>
      </w:r>
      <w:r w:rsidR="003539E6">
        <w:t xml:space="preserve"> performed tests resulting in a laboratory report </w:t>
      </w:r>
      <w:r w:rsidR="00024363">
        <w:t>the State intends to introduce into evidence in this case</w:t>
      </w:r>
      <w:r w:rsidR="005369CD">
        <w:t>, please produce the following information:</w:t>
      </w:r>
    </w:p>
    <w:p w:rsidR="005369CD" w:rsidP="005369CD" w:rsidRDefault="00024363" w14:paraId="64BD6CF6" w14:textId="5F21D37F">
      <w:pPr>
        <w:pStyle w:val="NoSpacing"/>
      </w:pPr>
      <w:r>
        <w:tab/>
      </w:r>
      <w:r>
        <w:t>a.</w:t>
      </w:r>
    </w:p>
    <w:p w:rsidR="005369CD" w:rsidP="005369CD" w:rsidRDefault="005369CD" w14:paraId="520A03FD" w14:textId="77777777">
      <w:pPr>
        <w:pStyle w:val="TxBrp13"/>
        <w:spacing w:line="240" w:lineRule="auto"/>
        <w:ind w:left="1462" w:firstLine="0"/>
      </w:pPr>
      <w:r>
        <w:t>1.</w:t>
      </w:r>
      <w:r>
        <w:tab/>
      </w:r>
      <w:r>
        <w:t>State the name of the witness.</w:t>
      </w:r>
    </w:p>
    <w:p w:rsidR="005369CD" w:rsidP="005369CD" w:rsidRDefault="005369CD" w14:paraId="6547ECF4" w14:textId="77777777">
      <w:pPr>
        <w:pStyle w:val="BodyTextIndent"/>
        <w:ind w:left="1462" w:firstLine="0"/>
      </w:pPr>
      <w:r>
        <w:t>2.</w:t>
      </w:r>
      <w:r>
        <w:tab/>
      </w:r>
      <w:r>
        <w:t>What is the subject matter upon which the expert is expected to testify?</w:t>
      </w:r>
    </w:p>
    <w:p w:rsidR="005369CD" w:rsidP="005369CD" w:rsidRDefault="005369CD" w14:paraId="135A4A00" w14:textId="77777777">
      <w:pPr>
        <w:ind w:left="1462"/>
      </w:pPr>
      <w:r>
        <w:t>3.</w:t>
      </w:r>
      <w:r>
        <w:tab/>
      </w:r>
      <w:r>
        <w:t>What are the facts and opinions to which the expert is expected to testify?</w:t>
      </w:r>
    </w:p>
    <w:p w:rsidR="005369CD" w:rsidP="005369CD" w:rsidRDefault="005369CD" w14:paraId="09D5910F" w14:textId="77777777">
      <w:pPr>
        <w:ind w:left="1462"/>
      </w:pPr>
      <w:r>
        <w:lastRenderedPageBreak/>
        <w:t>4.</w:t>
      </w:r>
      <w:r>
        <w:tab/>
      </w:r>
      <w:r>
        <w:t>Summarize the grounds for each opinion to which the expert is expected to testify.</w:t>
      </w:r>
    </w:p>
    <w:p w:rsidR="005369CD" w:rsidP="005369CD" w:rsidRDefault="005369CD" w14:paraId="612AA29F" w14:textId="77777777">
      <w:pPr>
        <w:ind w:left="1462"/>
      </w:pPr>
      <w:r>
        <w:t>5.</w:t>
      </w:r>
      <w:r>
        <w:tab/>
      </w:r>
      <w:r>
        <w:t>The names of any and all books, treatises, or other publications upon which the expert’s opinions or expected testimony are based.</w:t>
      </w:r>
    </w:p>
    <w:p w:rsidR="005369CD" w:rsidP="005369CD" w:rsidRDefault="00024363" w14:paraId="6C05CA87" w14:textId="084A2C99">
      <w:pPr>
        <w:ind w:left="1462"/>
      </w:pPr>
      <w:r>
        <w:t>6</w:t>
      </w:r>
      <w:r w:rsidR="005369CD">
        <w:t>.</w:t>
      </w:r>
      <w:r w:rsidR="005369CD">
        <w:tab/>
      </w:r>
      <w:r w:rsidR="005369CD">
        <w:t>A copy of the expert’s curriculum vitae.</w:t>
      </w:r>
    </w:p>
    <w:p w:rsidR="005369CD" w:rsidP="005369CD" w:rsidRDefault="00024363" w14:paraId="35378379" w14:textId="59F8361C">
      <w:pPr>
        <w:ind w:left="1462"/>
      </w:pPr>
      <w:r>
        <w:t>7</w:t>
      </w:r>
      <w:r w:rsidR="005369CD">
        <w:t>.</w:t>
      </w:r>
      <w:r w:rsidR="005369CD">
        <w:tab/>
      </w:r>
      <w:r w:rsidR="005369CD">
        <w:t>The names and dates of any publications authored by the expert witness.</w:t>
      </w:r>
    </w:p>
    <w:p w:rsidR="005369CD" w:rsidP="005369CD" w:rsidRDefault="005369CD" w14:paraId="0BFC1BD3" w14:textId="77777777">
      <w:pPr>
        <w:pStyle w:val="NoSpacing"/>
      </w:pPr>
    </w:p>
    <w:p w:rsidR="005369CD" w:rsidP="005369CD" w:rsidRDefault="005369CD" w14:paraId="61C429F8" w14:textId="77777777">
      <w:pPr>
        <w:pStyle w:val="NoSpacing"/>
      </w:pPr>
      <w:r>
        <w:t>b.</w:t>
      </w:r>
      <w:r>
        <w:tab/>
      </w:r>
      <w:r>
        <w:t>Any and all procedures and tests used to reach said conclusions;</w:t>
      </w:r>
    </w:p>
    <w:p w:rsidR="005369CD" w:rsidP="005369CD" w:rsidRDefault="005369CD" w14:paraId="3D8AF166" w14:textId="77777777">
      <w:pPr>
        <w:pStyle w:val="NoSpacing"/>
      </w:pPr>
    </w:p>
    <w:p w:rsidR="005369CD" w:rsidP="005369CD" w:rsidRDefault="005369CD" w14:paraId="165BBBE3" w14:textId="77777777">
      <w:pPr>
        <w:pStyle w:val="NoSpacing"/>
      </w:pPr>
      <w:r>
        <w:t>c.</w:t>
      </w:r>
      <w:r>
        <w:tab/>
      </w:r>
      <w:r>
        <w:t>Any and all data generated by the procedures and used to reach said conclusions;</w:t>
      </w:r>
    </w:p>
    <w:p w:rsidR="005369CD" w:rsidP="005369CD" w:rsidRDefault="005369CD" w14:paraId="5843A12C" w14:textId="77777777">
      <w:pPr>
        <w:pStyle w:val="NoSpacing"/>
      </w:pPr>
    </w:p>
    <w:p w:rsidR="005369CD" w:rsidP="005369CD" w:rsidRDefault="005369CD" w14:paraId="358AE72F" w14:textId="1648C995">
      <w:pPr>
        <w:pStyle w:val="NoSpacing"/>
      </w:pPr>
      <w:r>
        <w:t>d.</w:t>
      </w:r>
      <w:r>
        <w:tab/>
      </w:r>
      <w:r>
        <w:t xml:space="preserve">Any and all procedures </w:t>
      </w:r>
      <w:r w:rsidR="00D6127D">
        <w:t xml:space="preserve">Indiana State Police Laboratory Division </w:t>
      </w:r>
      <w:r>
        <w:t>should have used to reach said conclusions; such procedures generally being termed “protocols.”</w:t>
      </w:r>
    </w:p>
    <w:p w:rsidR="005369CD" w:rsidP="005369CD" w:rsidRDefault="005369CD" w14:paraId="2CD3B384" w14:textId="77777777">
      <w:pPr>
        <w:pStyle w:val="NoSpacing"/>
      </w:pPr>
    </w:p>
    <w:p w:rsidR="005369CD" w:rsidP="005369CD" w:rsidRDefault="005369CD" w14:paraId="509AA6B2" w14:textId="77777777">
      <w:pPr>
        <w:pStyle w:val="NoSpacing"/>
      </w:pPr>
      <w:r>
        <w:t>e.</w:t>
      </w:r>
      <w:r>
        <w:tab/>
      </w:r>
      <w:r>
        <w:t>Any and all information concerning how the samples (evidence) were collected and handled;</w:t>
      </w:r>
    </w:p>
    <w:p w:rsidR="005369CD" w:rsidP="005369CD" w:rsidRDefault="005369CD" w14:paraId="57F9C90A" w14:textId="77777777">
      <w:pPr>
        <w:pStyle w:val="NoSpacing"/>
      </w:pPr>
    </w:p>
    <w:p w:rsidR="005369CD" w:rsidP="005369CD" w:rsidRDefault="005369CD" w14:paraId="24A25E53" w14:textId="77777777">
      <w:pPr>
        <w:pStyle w:val="NoSpacing"/>
      </w:pPr>
      <w:r>
        <w:t>f.</w:t>
      </w:r>
      <w:r>
        <w:tab/>
      </w:r>
      <w:r>
        <w:t>Any and all information concerning the chain of custody and transfer of all evidence;</w:t>
      </w:r>
    </w:p>
    <w:p w:rsidR="005369CD" w:rsidP="005369CD" w:rsidRDefault="005369CD" w14:paraId="040959E4" w14:textId="77777777">
      <w:pPr>
        <w:pStyle w:val="NoSpacing"/>
      </w:pPr>
    </w:p>
    <w:p w:rsidR="005369CD" w:rsidP="005369CD" w:rsidRDefault="005369CD" w14:paraId="75CA3B18" w14:textId="77777777">
      <w:pPr>
        <w:pStyle w:val="NoSpacing"/>
      </w:pPr>
      <w:r>
        <w:t>g.</w:t>
      </w:r>
      <w:r>
        <w:tab/>
      </w:r>
      <w:r>
        <w:t>Any and all laboratory receiving records (records documenting the date, time, and condition of receipt of the evidence in question; laboratory assigned identifiers; storage location);</w:t>
      </w:r>
    </w:p>
    <w:p w:rsidR="005369CD" w:rsidP="005369CD" w:rsidRDefault="005369CD" w14:paraId="6A49FB8E" w14:textId="77777777">
      <w:pPr>
        <w:pStyle w:val="NoSpacing"/>
      </w:pPr>
    </w:p>
    <w:p w:rsidR="005369CD" w:rsidP="005369CD" w:rsidRDefault="005369CD" w14:paraId="33446FE5" w14:textId="77777777">
      <w:pPr>
        <w:pStyle w:val="NoSpacing"/>
      </w:pPr>
      <w:r>
        <w:t>h.</w:t>
      </w:r>
      <w:r>
        <w:tab/>
      </w:r>
      <w:r>
        <w:t>Any and all information concerning procedures for sub-sampling and contamination control;</w:t>
      </w:r>
    </w:p>
    <w:p w:rsidR="005369CD" w:rsidP="005369CD" w:rsidRDefault="005369CD" w14:paraId="638580F3" w14:textId="77777777">
      <w:pPr>
        <w:pStyle w:val="NoSpacing"/>
      </w:pPr>
    </w:p>
    <w:p w:rsidR="005369CD" w:rsidP="005369CD" w:rsidRDefault="005369CD" w14:paraId="13B0E58A" w14:textId="77777777">
      <w:pPr>
        <w:pStyle w:val="NoSpacing"/>
      </w:pPr>
      <w:r>
        <w:t>i.</w:t>
      </w:r>
      <w:r>
        <w:tab/>
      </w:r>
      <w:r>
        <w:t>Copies of all technical procedures in effect at the time the test was performed during sample screening and confirmation, including, but not limited to: sample preparation, sample analysis, data reporting and instrument operation;</w:t>
      </w:r>
    </w:p>
    <w:p w:rsidR="005369CD" w:rsidP="005369CD" w:rsidRDefault="005369CD" w14:paraId="04628AE5" w14:textId="77777777">
      <w:pPr>
        <w:pStyle w:val="NoSpacing"/>
      </w:pPr>
    </w:p>
    <w:p w:rsidR="005369CD" w:rsidP="005369CD" w:rsidRDefault="005369CD" w14:paraId="537729AA" w14:textId="77777777">
      <w:pPr>
        <w:pStyle w:val="NoSpacing"/>
      </w:pPr>
      <w:r>
        <w:t>j.</w:t>
      </w:r>
      <w:r>
        <w:tab/>
      </w:r>
      <w:r>
        <w:t xml:space="preserve">Copies of proficiency results and testing for each analyst and technician responsible for preparation or analysis of subject specimens, including, but not limited to:   raw data and reported results, target values and acceptance ranges, performance scores, and all related correspondence; </w:t>
      </w:r>
    </w:p>
    <w:p w:rsidR="005369CD" w:rsidP="005369CD" w:rsidRDefault="005369CD" w14:paraId="1D863A9F" w14:textId="77777777">
      <w:pPr>
        <w:pStyle w:val="NoSpacing"/>
      </w:pPr>
    </w:p>
    <w:p w:rsidR="005369CD" w:rsidP="005369CD" w:rsidRDefault="005369CD" w14:paraId="4183B3C3" w14:textId="77777777">
      <w:pPr>
        <w:pStyle w:val="NoSpacing"/>
      </w:pPr>
      <w:r>
        <w:t>k.</w:t>
      </w:r>
      <w:r>
        <w:tab/>
      </w:r>
      <w:r>
        <w:t>Any and all information related to traceability documentation for standards and reference materials used during analysis, including unique identifications, origins, dates of preparation and use, composition and concentration of prepared materials, certification or traceability records from suppliers, assigned shelf lives and storage conditions;</w:t>
      </w:r>
    </w:p>
    <w:p w:rsidR="005369CD" w:rsidP="005369CD" w:rsidRDefault="005369CD" w14:paraId="74941D0C" w14:textId="77777777">
      <w:pPr>
        <w:pStyle w:val="NoSpacing"/>
      </w:pPr>
    </w:p>
    <w:p w:rsidR="005369CD" w:rsidP="005369CD" w:rsidRDefault="005369CD" w14:paraId="712B540F" w14:textId="77777777">
      <w:pPr>
        <w:pStyle w:val="NoSpacing"/>
      </w:pPr>
      <w:r>
        <w:t>l.</w:t>
      </w:r>
      <w:r>
        <w:tab/>
      </w:r>
      <w:r>
        <w:t>Any and all information related to sample preparation records, including dates and conditions of preparation, responsible analyst, procedural reference, purity, concentration and origins of solvents, reagents, and control materials prepared and used, samples processed concurrently, and extract volume;</w:t>
      </w:r>
    </w:p>
    <w:p w:rsidR="005369CD" w:rsidP="005369CD" w:rsidRDefault="005369CD" w14:paraId="2644C9A6" w14:textId="77777777">
      <w:pPr>
        <w:pStyle w:val="NoSpacing"/>
      </w:pPr>
    </w:p>
    <w:p w:rsidR="005369CD" w:rsidP="005369CD" w:rsidRDefault="005369CD" w14:paraId="37F8A512" w14:textId="77777777">
      <w:pPr>
        <w:pStyle w:val="NoSpacing"/>
      </w:pPr>
      <w:r>
        <w:t>m.</w:t>
      </w:r>
      <w:r>
        <w:tab/>
      </w:r>
      <w:r>
        <w:t>Copies of all bench notes, log books, and any other records pertaining to case samples or instruments; records documenting observations, notations, or measurements regarding case testing;</w:t>
      </w:r>
    </w:p>
    <w:p w:rsidR="005369CD" w:rsidP="005369CD" w:rsidRDefault="005369CD" w14:paraId="58E16D1E" w14:textId="77777777">
      <w:pPr>
        <w:pStyle w:val="NoSpacing"/>
      </w:pPr>
    </w:p>
    <w:p w:rsidR="005369CD" w:rsidP="005369CD" w:rsidRDefault="005369CD" w14:paraId="5B23FFF9" w14:textId="77777777">
      <w:pPr>
        <w:pStyle w:val="NoSpacing"/>
      </w:pPr>
      <w:r>
        <w:t>n.</w:t>
      </w:r>
      <w:r>
        <w:tab/>
      </w:r>
      <w:r>
        <w:t>Any and all information related to instrument run logs with identification of all standards, reference materials, sample blanks, rinses, and controls analyzed during the day/shift with subject samples (as appropriate run sequence, origins, times of analysis and aborted run sequences);</w:t>
      </w:r>
    </w:p>
    <w:p w:rsidR="005369CD" w:rsidP="005369CD" w:rsidRDefault="005369CD" w14:paraId="0F1FD8C3" w14:textId="77777777">
      <w:pPr>
        <w:pStyle w:val="NoSpacing"/>
      </w:pPr>
    </w:p>
    <w:p w:rsidR="005369CD" w:rsidP="005369CD" w:rsidRDefault="005369CD" w14:paraId="53CB7A7E" w14:textId="77777777">
      <w:pPr>
        <w:pStyle w:val="NoSpacing"/>
      </w:pPr>
      <w:r>
        <w:t>o.</w:t>
      </w:r>
      <w:r>
        <w:tab/>
      </w:r>
      <w:r>
        <w:t>Copies of any and all records on instrument operating conditions and criteria for variables, including but not limited to:   GC column, instrument file identification, tuning criteria, instrument performance check, initial calibration, continuing calibration checks, calibration verification;</w:t>
      </w:r>
    </w:p>
    <w:p w:rsidR="005369CD" w:rsidP="005369CD" w:rsidRDefault="005369CD" w14:paraId="402722D1" w14:textId="77777777">
      <w:pPr>
        <w:pStyle w:val="NoSpacing"/>
      </w:pPr>
    </w:p>
    <w:p w:rsidR="005369CD" w:rsidP="005369CD" w:rsidRDefault="005369CD" w14:paraId="386F8D1C" w14:textId="77777777">
      <w:pPr>
        <w:pStyle w:val="NoSpacing"/>
      </w:pPr>
      <w:r>
        <w:t>p.</w:t>
      </w:r>
      <w:r>
        <w:tab/>
      </w:r>
      <w:r>
        <w:t>Records of instrument maintenance status and activities for instruments used in the testing of the substance at issue in this case, documenting routine as-needed maintenance activities in the four weeks prior to the testing of the substance at issue in this case;</w:t>
      </w:r>
    </w:p>
    <w:p w:rsidR="005369CD" w:rsidP="005369CD" w:rsidRDefault="005369CD" w14:paraId="2A853534" w14:textId="77777777">
      <w:pPr>
        <w:pStyle w:val="NoSpacing"/>
      </w:pPr>
    </w:p>
    <w:p w:rsidR="005369CD" w:rsidP="005369CD" w:rsidRDefault="005369CD" w14:paraId="5356D10C" w14:textId="77777777">
      <w:pPr>
        <w:pStyle w:val="NoSpacing"/>
      </w:pPr>
      <w:r>
        <w:t>q.</w:t>
      </w:r>
      <w:r>
        <w:tab/>
      </w:r>
      <w:r>
        <w:t>Raw data for complete measurement sequence (opening and closing quality control included) that includes the subject samples.</w:t>
      </w:r>
    </w:p>
    <w:p w:rsidR="005369CD" w:rsidP="005369CD" w:rsidRDefault="005369CD" w14:paraId="449EAC4D" w14:textId="77777777">
      <w:pPr>
        <w:pStyle w:val="NoSpacing"/>
      </w:pPr>
    </w:p>
    <w:p w:rsidR="005369CD" w:rsidP="005369CD" w:rsidRDefault="005369CD" w14:paraId="1644D1E1" w14:textId="77777777">
      <w:pPr>
        <w:pStyle w:val="NoSpacing"/>
      </w:pPr>
      <w:r>
        <w:t>r.</w:t>
      </w:r>
      <w:r>
        <w:tab/>
      </w:r>
      <w:r>
        <w:t>Copies of any and all records and results of internal review of subject data;</w:t>
      </w:r>
    </w:p>
    <w:p w:rsidR="005369CD" w:rsidP="005369CD" w:rsidRDefault="005369CD" w14:paraId="69345849" w14:textId="77777777">
      <w:pPr>
        <w:pStyle w:val="NoSpacing"/>
      </w:pPr>
    </w:p>
    <w:p w:rsidR="005369CD" w:rsidP="005369CD" w:rsidRDefault="005369CD" w14:paraId="182BE787" w14:textId="155D6AD8">
      <w:pPr>
        <w:pStyle w:val="NoSpacing"/>
      </w:pPr>
      <w:r>
        <w:t>s.</w:t>
      </w:r>
      <w:r>
        <w:tab/>
      </w:r>
      <w:r>
        <w:t>A copy of any and all internal audit reports generated during the period the subject sample(s) were tested</w:t>
      </w:r>
      <w:r w:rsidR="006652E8">
        <w:t>.</w:t>
      </w:r>
    </w:p>
    <w:p w:rsidR="003A453A" w:rsidP="005369CD" w:rsidRDefault="003A453A" w14:paraId="3BD8A315" w14:textId="00F52277">
      <w:pPr>
        <w:pStyle w:val="NoSpacing"/>
      </w:pPr>
    </w:p>
    <w:p w:rsidR="003A453A" w:rsidP="003A453A" w:rsidRDefault="003A453A" w14:paraId="5737EDCB" w14:textId="5E6BA6ED">
      <w:pPr>
        <w:pStyle w:val="NoSpacing"/>
        <w:spacing w:line="480" w:lineRule="auto"/>
      </w:pPr>
      <w:r>
        <w:tab/>
      </w:r>
      <w:r w:rsidR="0051167D">
        <w:t>8.</w:t>
      </w:r>
      <w:r w:rsidR="0051167D">
        <w:tab/>
      </w:r>
      <w:r w:rsidR="0051167D">
        <w:t>Any and all records pertaining to the training</w:t>
      </w:r>
      <w:r w:rsidR="00C005CC">
        <w:t xml:space="preserve"> and certification of any K-9 teams utilized by the Plainfield Police Department </w:t>
      </w:r>
      <w:r w:rsidR="00885D99">
        <w:t>pertaining to the investigation</w:t>
      </w:r>
      <w:r w:rsidR="00BA6D84">
        <w:t>, detention, search, and or arrest of the Defendant</w:t>
      </w:r>
      <w:r w:rsidR="00F62A45">
        <w:t xml:space="preserve">. Such records should include but are not limited to </w:t>
      </w:r>
      <w:r w:rsidR="006F7891">
        <w:t>K-9 certification</w:t>
      </w:r>
      <w:r w:rsidR="00040001">
        <w:t>, handler’s certification, utilization records</w:t>
      </w:r>
      <w:r w:rsidR="00EF216D">
        <w:t>, training records, proficiency records, st</w:t>
      </w:r>
      <w:r w:rsidR="00240A5D">
        <w:t xml:space="preserve">andard operating </w:t>
      </w:r>
      <w:r w:rsidR="001E2ED0">
        <w:t>procedures, or any other such documentation that may pertain to such K-9 unit</w:t>
      </w:r>
      <w:r w:rsidR="00E97B9F">
        <w:t>s.</w:t>
      </w:r>
    </w:p>
    <w:p w:rsidRPr="0062114A" w:rsidR="0062114A" w:rsidP="0062114A" w:rsidRDefault="0062114A" w14:paraId="1346E552" w14:textId="229DA597">
      <w:pPr>
        <w:widowControl w:val="0"/>
        <w:tabs>
          <w:tab w:val="left" w:pos="720"/>
        </w:tabs>
        <w:spacing w:line="572" w:lineRule="exact"/>
        <w:rPr>
          <w:snapToGrid w:val="0"/>
        </w:rPr>
      </w:pPr>
      <w:r w:rsidRPr="0062114A">
        <w:rPr>
          <w:snapToGrid w:val="0"/>
        </w:rPr>
        <w:tab/>
      </w:r>
      <w:r w:rsidR="00E97B9F">
        <w:rPr>
          <w:snapToGrid w:val="0"/>
        </w:rPr>
        <w:t>9</w:t>
      </w:r>
      <w:r w:rsidRPr="0062114A">
        <w:rPr>
          <w:snapToGrid w:val="0"/>
        </w:rPr>
        <w:t>.</w:t>
      </w:r>
      <w:r w:rsidRPr="0062114A">
        <w:rPr>
          <w:snapToGrid w:val="0"/>
        </w:rPr>
        <w:tab/>
      </w:r>
      <w:r w:rsidRPr="0062114A">
        <w:rPr>
          <w:snapToGrid w:val="0"/>
        </w:rPr>
        <w:t xml:space="preserve">That disclosure and production is to be made without regard as to whether the evidence to be disclosed and produced is deemed admissible at trial herein, and if the State, after complying with the Motion For Discovery, finds, either before or during trial, additional information or facts which are subject to or covered by such order, the State shall promptly notify the Court and the </w:t>
      </w:r>
      <w:r w:rsidR="002134FE">
        <w:rPr>
          <w:snapToGrid w:val="0"/>
        </w:rPr>
        <w:t xml:space="preserve">Defendant </w:t>
      </w:r>
      <w:r w:rsidRPr="0062114A">
        <w:rPr>
          <w:snapToGrid w:val="0"/>
        </w:rPr>
        <w:t>of the existence thereof.</w:t>
      </w:r>
    </w:p>
    <w:p w:rsidRPr="0062114A" w:rsidR="0062114A" w:rsidP="0062114A" w:rsidRDefault="0062114A" w14:paraId="21D82F17" w14:textId="77777777">
      <w:pPr>
        <w:spacing w:line="240" w:lineRule="atLeast"/>
        <w:jc w:val="center"/>
        <w:rPr>
          <w:b/>
          <w:bCs/>
          <w:szCs w:val="24"/>
        </w:rPr>
      </w:pPr>
    </w:p>
    <w:p w:rsidRPr="0062114A" w:rsidR="0062114A" w:rsidP="0062114A" w:rsidRDefault="0062114A" w14:paraId="7D9356F3" w14:textId="77777777">
      <w:pPr>
        <w:spacing w:line="240" w:lineRule="atLeast"/>
        <w:jc w:val="center"/>
        <w:rPr>
          <w:b/>
          <w:bCs/>
          <w:szCs w:val="24"/>
        </w:rPr>
      </w:pPr>
    </w:p>
    <w:p w:rsidR="00E97B9F" w:rsidP="00E97B9F" w:rsidRDefault="0062114A" w14:paraId="0D18BB9E" w14:textId="77777777">
      <w:pPr>
        <w:spacing w:line="240" w:lineRule="atLeast"/>
        <w:jc w:val="center"/>
        <w:rPr>
          <w:b/>
          <w:bCs/>
          <w:szCs w:val="24"/>
        </w:rPr>
      </w:pPr>
      <w:r w:rsidRPr="0062114A">
        <w:rPr>
          <w:b/>
          <w:bCs/>
          <w:szCs w:val="24"/>
        </w:rPr>
        <w:t>INSTRUCTIONS CONCERNING THE PRODUCTION OF DOCUMENTS AND THINGS</w:t>
      </w:r>
    </w:p>
    <w:p w:rsidRPr="00E97B9F" w:rsidR="0062114A" w:rsidP="00E97B9F" w:rsidRDefault="00E97B9F" w14:paraId="59DEB528" w14:textId="2CFE70EB">
      <w:pPr>
        <w:spacing w:line="480" w:lineRule="auto"/>
        <w:rPr>
          <w:b/>
          <w:bCs/>
          <w:szCs w:val="24"/>
        </w:rPr>
      </w:pPr>
      <w:r>
        <w:rPr>
          <w:b/>
          <w:bCs/>
          <w:szCs w:val="24"/>
        </w:rPr>
        <w:tab/>
      </w:r>
      <w:r>
        <w:rPr>
          <w:szCs w:val="24"/>
        </w:rPr>
        <w:t>1.</w:t>
      </w:r>
      <w:r>
        <w:rPr>
          <w:szCs w:val="24"/>
        </w:rPr>
        <w:tab/>
      </w:r>
      <w:r w:rsidRPr="0062114A" w:rsidR="0062114A">
        <w:rPr>
          <w:szCs w:val="24"/>
        </w:rPr>
        <w:t xml:space="preserve">"Document" or "Documents" shall mean all written or recorded material or every type and description, containing words, whether in handwritten, typewritten, printed, shorthand, stenotyped, copies or other form, including words in the form of sound as in the case of recording by tape, disc, belt, etc., however, and by whoever prepared, produced and reproduced, disseminated, or made, of any kind or character in </w:t>
      </w:r>
      <w:r w:rsidR="002134FE">
        <w:rPr>
          <w:bCs/>
          <w:szCs w:val="24"/>
        </w:rPr>
        <w:t>the State’s</w:t>
      </w:r>
      <w:r w:rsidRPr="0062114A" w:rsidR="0062114A">
        <w:rPr>
          <w:szCs w:val="24"/>
        </w:rPr>
        <w:t xml:space="preserve"> actual or construction possession, custody or control, including non-identical copies, whether differing from the original by reason of any notation made on such copies or otherwise including, but not limited to, the following: writings, drawings, graphs, charts, photographs, letters, correspondence, telegrams, memoranda, invoices, stock control records, purchase forms or orders, contracts, minutes, agreements, notations or telephone or personal conversations or conferences, microfiche, microfilm, bulletins, circulars, pamphlets, studies, notices, summons, reports, books, computer print-outs, disc or punched card recording, ledgers, books or account, vouchers, checks, worksheets and any data compilations from which information can be obtained.  Where originals are not available, authentic copies of such documents may be produced.  This definition specifically includes anything that would be considered a business record.</w:t>
      </w:r>
    </w:p>
    <w:p w:rsidRPr="0062114A" w:rsidR="0062114A" w:rsidP="0062114A" w:rsidRDefault="0062114A" w14:paraId="4FD8B146" w14:textId="77777777">
      <w:pPr>
        <w:spacing w:line="480" w:lineRule="atLeast"/>
        <w:ind w:firstLine="720"/>
        <w:jc w:val="both"/>
        <w:rPr>
          <w:szCs w:val="24"/>
        </w:rPr>
      </w:pPr>
      <w:r w:rsidRPr="0062114A">
        <w:rPr>
          <w:szCs w:val="24"/>
        </w:rPr>
        <w:t>2.</w:t>
      </w:r>
      <w:r w:rsidRPr="0062114A">
        <w:rPr>
          <w:szCs w:val="24"/>
        </w:rPr>
        <w:tab/>
      </w:r>
      <w:r w:rsidRPr="0062114A">
        <w:rPr>
          <w:szCs w:val="24"/>
        </w:rPr>
        <w:t>"Communication" shall mean any correspondence, letter, memorandum, report, note, advertisement, printed matter, or other paper created for the purpose of conveying information or ideas from one person or entity to another persons or entity, whether or not such intended conveyance ever took place.  It shall include all written reports, notes and memoranda or oral conversations, whether by telephone or face-to-face.  The request for any communication shall be deemed to include all drafts, shorthand notes, outlines and all carbon, photostatic, xerox and other copies of all or any part of such communication.  Such request shall include any part of such communication.  Such request shall include any recording (whether on belt, tape, disc or other device) of any communication, whether or not such recording was ever actually transcribed into writing.</w:t>
      </w:r>
    </w:p>
    <w:p w:rsidRPr="0062114A" w:rsidR="0062114A" w:rsidP="0062114A" w:rsidRDefault="0062114A" w14:paraId="471599EE" w14:textId="77777777">
      <w:pPr>
        <w:spacing w:line="480" w:lineRule="atLeast"/>
        <w:ind w:firstLine="720"/>
        <w:jc w:val="both"/>
        <w:rPr>
          <w:szCs w:val="24"/>
        </w:rPr>
      </w:pPr>
      <w:r w:rsidRPr="0062114A">
        <w:rPr>
          <w:szCs w:val="24"/>
        </w:rPr>
        <w:t>3.</w:t>
      </w:r>
      <w:r w:rsidRPr="0062114A">
        <w:rPr>
          <w:szCs w:val="24"/>
        </w:rPr>
        <w:tab/>
      </w:r>
      <w:r w:rsidRPr="0062114A">
        <w:rPr>
          <w:szCs w:val="24"/>
        </w:rPr>
        <w:t xml:space="preserve">The request for any documents shall extend to any exhibits, appendices, attachments and riders attached at any time to the documents or to any copy thereof, whether or not referred to </w:t>
      </w:r>
      <w:r w:rsidRPr="0062114A">
        <w:rPr>
          <w:bCs/>
          <w:szCs w:val="24"/>
        </w:rPr>
        <w:t>in</w:t>
      </w:r>
      <w:r w:rsidRPr="0062114A">
        <w:rPr>
          <w:b/>
          <w:szCs w:val="24"/>
        </w:rPr>
        <w:t xml:space="preserve"> </w:t>
      </w:r>
      <w:r w:rsidRPr="0062114A">
        <w:rPr>
          <w:szCs w:val="24"/>
        </w:rPr>
        <w:t>or incorporated by reference in such document.</w:t>
      </w:r>
    </w:p>
    <w:p w:rsidRPr="0062114A" w:rsidR="0062114A" w:rsidP="0062114A" w:rsidRDefault="0062114A" w14:paraId="22BF0E96" w14:textId="77777777">
      <w:pPr>
        <w:spacing w:line="240" w:lineRule="atLeast"/>
        <w:jc w:val="both"/>
        <w:rPr>
          <w:szCs w:val="24"/>
        </w:rPr>
      </w:pPr>
    </w:p>
    <w:p w:rsidRPr="0062114A" w:rsidR="0062114A" w:rsidP="0062114A" w:rsidRDefault="0062114A" w14:paraId="169F6324" w14:textId="77777777">
      <w:pPr>
        <w:spacing w:line="480" w:lineRule="auto"/>
        <w:ind w:left="144" w:firstLine="576"/>
        <w:rPr>
          <w:szCs w:val="24"/>
        </w:rPr>
      </w:pPr>
      <w:r w:rsidRPr="0062114A">
        <w:rPr>
          <w:szCs w:val="24"/>
        </w:rPr>
        <w:t>4.</w:t>
      </w:r>
      <w:r w:rsidRPr="0062114A">
        <w:rPr>
          <w:szCs w:val="24"/>
        </w:rPr>
        <w:tab/>
      </w:r>
      <w:r w:rsidRPr="0062114A">
        <w:rPr>
          <w:szCs w:val="24"/>
        </w:rPr>
        <w:t xml:space="preserve">Person or persons shall mean any individual, partnership, firm, </w:t>
      </w:r>
    </w:p>
    <w:p w:rsidRPr="0062114A" w:rsidR="0062114A" w:rsidP="0062114A" w:rsidRDefault="0062114A" w14:paraId="7BAB1CF6" w14:textId="77777777">
      <w:pPr>
        <w:spacing w:line="480" w:lineRule="auto"/>
        <w:rPr>
          <w:b/>
          <w:szCs w:val="24"/>
          <w:u w:val="single"/>
        </w:rPr>
      </w:pPr>
      <w:r w:rsidRPr="0062114A">
        <w:rPr>
          <w:szCs w:val="24"/>
        </w:rPr>
        <w:t>association, corporation, business, governmental or other legal entity.</w:t>
      </w:r>
    </w:p>
    <w:p w:rsidRPr="0062114A" w:rsidR="0062114A" w:rsidP="0062114A" w:rsidRDefault="0062114A" w14:paraId="6E83151B" w14:textId="77777777">
      <w:pPr>
        <w:spacing w:line="480" w:lineRule="atLeast"/>
        <w:jc w:val="center"/>
        <w:rPr>
          <w:szCs w:val="24"/>
        </w:rPr>
      </w:pPr>
      <w:r w:rsidRPr="0062114A">
        <w:rPr>
          <w:b/>
          <w:szCs w:val="24"/>
          <w:u w:val="single"/>
        </w:rPr>
        <w:t>DUTY TO SUPPLEMENT RESPONSES</w:t>
      </w:r>
    </w:p>
    <w:p w:rsidRPr="0062114A" w:rsidR="0062114A" w:rsidP="0062114A" w:rsidRDefault="002E03D4" w14:paraId="35CDA3DF" w14:textId="00B03EC8">
      <w:pPr>
        <w:spacing w:line="480" w:lineRule="atLeast"/>
        <w:ind w:firstLine="720"/>
        <w:jc w:val="both"/>
        <w:rPr>
          <w:szCs w:val="24"/>
        </w:rPr>
      </w:pPr>
      <w:r>
        <w:rPr>
          <w:bCs/>
          <w:szCs w:val="24"/>
        </w:rPr>
        <w:t>The State</w:t>
      </w:r>
      <w:r w:rsidRPr="0062114A" w:rsidR="0062114A">
        <w:rPr>
          <w:szCs w:val="24"/>
        </w:rPr>
        <w:t xml:space="preserve"> shall be under a continuing duty to supplement any responses hereto if it discovers that the response was incorrect when made or that the response, though correct when made, is no longer true or complete, and shall supplement its</w:t>
      </w:r>
      <w:r w:rsidRPr="0062114A" w:rsidR="0062114A">
        <w:rPr>
          <w:b/>
          <w:szCs w:val="24"/>
        </w:rPr>
        <w:t xml:space="preserve"> </w:t>
      </w:r>
      <w:r w:rsidRPr="0062114A" w:rsidR="0062114A">
        <w:rPr>
          <w:szCs w:val="24"/>
        </w:rPr>
        <w:t xml:space="preserve">response upon request of the </w:t>
      </w:r>
      <w:r w:rsidR="0046434B">
        <w:rPr>
          <w:bCs/>
          <w:szCs w:val="24"/>
        </w:rPr>
        <w:t xml:space="preserve">Defendant. </w:t>
      </w:r>
    </w:p>
    <w:p w:rsidRPr="0062114A" w:rsidR="0062114A" w:rsidP="0062114A" w:rsidRDefault="0062114A" w14:paraId="2D146D9E" w14:textId="77777777">
      <w:pPr>
        <w:spacing w:line="480" w:lineRule="atLeast"/>
        <w:ind w:left="3168"/>
        <w:jc w:val="both"/>
        <w:rPr>
          <w:szCs w:val="24"/>
        </w:rPr>
      </w:pPr>
      <w:r w:rsidRPr="0062114A">
        <w:rPr>
          <w:b/>
          <w:szCs w:val="24"/>
          <w:u w:val="single"/>
        </w:rPr>
        <w:t>PRIVILEGED DOCUMENTS</w:t>
      </w:r>
    </w:p>
    <w:p w:rsidRPr="0062114A" w:rsidR="0062114A" w:rsidP="0062114A" w:rsidRDefault="0062114A" w14:paraId="03BE0471" w14:textId="77777777">
      <w:pPr>
        <w:spacing w:line="480" w:lineRule="atLeast"/>
        <w:ind w:left="720"/>
        <w:jc w:val="both"/>
        <w:rPr>
          <w:szCs w:val="24"/>
        </w:rPr>
      </w:pPr>
      <w:r w:rsidRPr="0062114A">
        <w:rPr>
          <w:szCs w:val="24"/>
        </w:rPr>
        <w:t>As to any document withheld because of a claim of privilege or work product, state:</w:t>
      </w:r>
    </w:p>
    <w:p w:rsidRPr="0062114A" w:rsidR="0062114A" w:rsidP="0062114A" w:rsidRDefault="0062114A" w14:paraId="2BBD25D0" w14:textId="77777777">
      <w:pPr>
        <w:spacing w:line="480" w:lineRule="atLeast"/>
        <w:ind w:left="720"/>
        <w:jc w:val="both"/>
        <w:rPr>
          <w:szCs w:val="24"/>
        </w:rPr>
      </w:pPr>
      <w:r w:rsidRPr="0062114A">
        <w:rPr>
          <w:szCs w:val="24"/>
        </w:rPr>
        <w:t>The reason for withholding it.</w:t>
      </w:r>
    </w:p>
    <w:p w:rsidRPr="0062114A" w:rsidR="0062114A" w:rsidP="0062114A" w:rsidRDefault="0062114A" w14:paraId="12607056" w14:textId="77777777">
      <w:pPr>
        <w:spacing w:line="480" w:lineRule="atLeast"/>
        <w:ind w:left="1440" w:hanging="720"/>
        <w:rPr>
          <w:szCs w:val="24"/>
        </w:rPr>
      </w:pPr>
      <w:r w:rsidRPr="0062114A">
        <w:rPr>
          <w:szCs w:val="24"/>
        </w:rPr>
        <w:t>2.</w:t>
      </w:r>
      <w:r w:rsidRPr="0062114A">
        <w:rPr>
          <w:szCs w:val="24"/>
        </w:rPr>
        <w:tab/>
      </w:r>
      <w:r w:rsidRPr="0062114A">
        <w:rPr>
          <w:szCs w:val="24"/>
        </w:rPr>
        <w:t>The nature of the privilege asserted.</w:t>
      </w:r>
    </w:p>
    <w:p w:rsidRPr="0062114A" w:rsidR="0062114A" w:rsidP="0062114A" w:rsidRDefault="0062114A" w14:paraId="18C24991" w14:textId="77777777">
      <w:pPr>
        <w:spacing w:line="480" w:lineRule="atLeast"/>
        <w:ind w:left="1440" w:hanging="720"/>
        <w:rPr>
          <w:szCs w:val="24"/>
        </w:rPr>
      </w:pPr>
      <w:r w:rsidRPr="0062114A">
        <w:rPr>
          <w:szCs w:val="24"/>
        </w:rPr>
        <w:t>3.</w:t>
      </w:r>
      <w:r w:rsidRPr="0062114A">
        <w:rPr>
          <w:szCs w:val="24"/>
        </w:rPr>
        <w:tab/>
      </w:r>
      <w:r w:rsidRPr="0062114A">
        <w:rPr>
          <w:szCs w:val="24"/>
        </w:rPr>
        <w:t>Its author.</w:t>
      </w:r>
    </w:p>
    <w:p w:rsidRPr="0062114A" w:rsidR="0062114A" w:rsidP="0062114A" w:rsidRDefault="0062114A" w14:paraId="708D0D99" w14:textId="77777777">
      <w:pPr>
        <w:spacing w:line="480" w:lineRule="atLeast"/>
        <w:ind w:left="1440" w:hanging="720"/>
        <w:rPr>
          <w:szCs w:val="24"/>
        </w:rPr>
      </w:pPr>
      <w:r w:rsidRPr="0062114A">
        <w:rPr>
          <w:szCs w:val="24"/>
        </w:rPr>
        <w:t>4.</w:t>
      </w:r>
      <w:r w:rsidRPr="0062114A">
        <w:rPr>
          <w:szCs w:val="24"/>
        </w:rPr>
        <w:tab/>
      </w:r>
      <w:r w:rsidRPr="0062114A">
        <w:rPr>
          <w:szCs w:val="24"/>
        </w:rPr>
        <w:t>Its date.</w:t>
      </w:r>
    </w:p>
    <w:p w:rsidRPr="0062114A" w:rsidR="0062114A" w:rsidP="0062114A" w:rsidRDefault="0062114A" w14:paraId="6E4FA32F" w14:textId="77777777">
      <w:pPr>
        <w:spacing w:line="480" w:lineRule="atLeast"/>
        <w:ind w:left="1440" w:hanging="720"/>
        <w:rPr>
          <w:szCs w:val="24"/>
        </w:rPr>
      </w:pPr>
      <w:r w:rsidRPr="0062114A">
        <w:rPr>
          <w:i/>
          <w:szCs w:val="24"/>
        </w:rPr>
        <w:t>5.</w:t>
      </w:r>
      <w:r w:rsidRPr="0062114A">
        <w:rPr>
          <w:szCs w:val="24"/>
        </w:rPr>
        <w:tab/>
      </w:r>
      <w:r w:rsidRPr="0062114A">
        <w:rPr>
          <w:szCs w:val="24"/>
        </w:rPr>
        <w:t>Its subject matter.</w:t>
      </w:r>
    </w:p>
    <w:p w:rsidRPr="0062114A" w:rsidR="0062114A" w:rsidP="0062114A" w:rsidRDefault="0062114A" w14:paraId="003444FA" w14:textId="77777777">
      <w:pPr>
        <w:spacing w:line="480" w:lineRule="atLeast"/>
        <w:ind w:left="1440" w:hanging="720"/>
        <w:rPr>
          <w:szCs w:val="24"/>
        </w:rPr>
      </w:pPr>
      <w:r w:rsidRPr="0062114A">
        <w:rPr>
          <w:szCs w:val="24"/>
        </w:rPr>
        <w:t>6.</w:t>
      </w:r>
      <w:r w:rsidRPr="0062114A">
        <w:rPr>
          <w:szCs w:val="24"/>
        </w:rPr>
        <w:tab/>
      </w:r>
      <w:r w:rsidRPr="0062114A">
        <w:rPr>
          <w:szCs w:val="24"/>
        </w:rPr>
        <w:t>Each person to whom the document indicates a copy was sent.</w:t>
      </w:r>
    </w:p>
    <w:p w:rsidRPr="0062114A" w:rsidR="0062114A" w:rsidP="0062114A" w:rsidRDefault="0062114A" w14:paraId="6BADC58E" w14:textId="77777777">
      <w:pPr>
        <w:widowControl w:val="0"/>
        <w:tabs>
          <w:tab w:val="left" w:pos="720"/>
        </w:tabs>
        <w:spacing w:line="572" w:lineRule="exact"/>
      </w:pPr>
    </w:p>
    <w:p w:rsidR="4561C891" w:rsidP="2A91319E" w:rsidRDefault="4561C891" w14:paraId="53D0E727" w14:textId="1DCDE274">
      <w:pPr>
        <w:pStyle w:val="Normal"/>
        <w:tabs>
          <w:tab w:val="left" w:leader="none" w:pos="720"/>
        </w:tabs>
        <w:spacing w:line="572" w:lineRule="exact"/>
      </w:pPr>
      <w:r w:rsidR="4561C891">
        <w:rPr/>
        <w:t xml:space="preserve">Respectfully submitted, </w:t>
      </w:r>
    </w:p>
    <w:p w:rsidR="2A91319E" w:rsidP="2A91319E" w:rsidRDefault="2A91319E" w14:paraId="50320859" w14:textId="6152D09A">
      <w:pPr>
        <w:pStyle w:val="Normal"/>
        <w:tabs>
          <w:tab w:val="left" w:leader="none" w:pos="720"/>
        </w:tabs>
        <w:spacing w:line="572" w:lineRule="exact"/>
      </w:pPr>
    </w:p>
    <w:p w:rsidRPr="002C7FFB" w:rsidR="0062114A" w:rsidP="0062114A" w:rsidRDefault="0062114A" w14:paraId="55F93DFF" w14:textId="755C4F90">
      <w:pPr>
        <w:rPr>
          <w:b/>
          <w:u w:val="single"/>
        </w:rPr>
      </w:pPr>
      <w:r w:rsidRPr="0062114A">
        <w:tab/>
      </w:r>
      <w:r w:rsidRPr="0062114A">
        <w:tab/>
      </w:r>
      <w:r w:rsidRPr="0062114A">
        <w:tab/>
      </w:r>
      <w:r w:rsidRPr="0062114A">
        <w:tab/>
      </w:r>
      <w:r w:rsidRPr="0062114A">
        <w:tab/>
      </w:r>
      <w:r w:rsidRPr="0062114A">
        <w:tab/>
      </w:r>
      <w:r w:rsidRPr="0062114A">
        <w:tab/>
      </w:r>
      <w:r w:rsidRPr="0062114A">
        <w:tab/>
      </w:r>
    </w:p>
    <w:sectPr w:rsidRPr="002C7FFB" w:rsidR="0062114A">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ocumentProtection w:formatting="1" w:enforcement="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0F"/>
    <w:rsid w:val="00024363"/>
    <w:rsid w:val="00040001"/>
    <w:rsid w:val="0007760D"/>
    <w:rsid w:val="00106D0F"/>
    <w:rsid w:val="001E2ED0"/>
    <w:rsid w:val="001E79A5"/>
    <w:rsid w:val="002134FE"/>
    <w:rsid w:val="00240A5D"/>
    <w:rsid w:val="002B7A43"/>
    <w:rsid w:val="002C7FFB"/>
    <w:rsid w:val="002E03D4"/>
    <w:rsid w:val="003539E6"/>
    <w:rsid w:val="003A453A"/>
    <w:rsid w:val="003A5D2D"/>
    <w:rsid w:val="003F512B"/>
    <w:rsid w:val="00431F09"/>
    <w:rsid w:val="0046434B"/>
    <w:rsid w:val="004C3BFA"/>
    <w:rsid w:val="0051167D"/>
    <w:rsid w:val="00523E69"/>
    <w:rsid w:val="005369CD"/>
    <w:rsid w:val="0062114A"/>
    <w:rsid w:val="00636BED"/>
    <w:rsid w:val="006527CF"/>
    <w:rsid w:val="006652E8"/>
    <w:rsid w:val="006F7891"/>
    <w:rsid w:val="00745987"/>
    <w:rsid w:val="00885D99"/>
    <w:rsid w:val="008E6861"/>
    <w:rsid w:val="008E7C77"/>
    <w:rsid w:val="0091486D"/>
    <w:rsid w:val="00A634D8"/>
    <w:rsid w:val="00A96710"/>
    <w:rsid w:val="00B12658"/>
    <w:rsid w:val="00B36701"/>
    <w:rsid w:val="00B55B86"/>
    <w:rsid w:val="00BA6D84"/>
    <w:rsid w:val="00C005CC"/>
    <w:rsid w:val="00D122BF"/>
    <w:rsid w:val="00D16278"/>
    <w:rsid w:val="00D22A81"/>
    <w:rsid w:val="00D6127D"/>
    <w:rsid w:val="00DB6B76"/>
    <w:rsid w:val="00E22EBC"/>
    <w:rsid w:val="00E32E64"/>
    <w:rsid w:val="00E97B9F"/>
    <w:rsid w:val="00EF216D"/>
    <w:rsid w:val="00F62A45"/>
    <w:rsid w:val="2A91319E"/>
    <w:rsid w:val="4561C8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E2FB99F"/>
  <w15:chartTrackingRefBased/>
  <w15:docId w15:val="{DE0FE857-AF16-463B-9883-42255D2C6C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semiHidden/>
    <w:pPr>
      <w:framePr w:w="7920" w:h="1980" w:hSpace="180" w:wrap="auto" w:hAnchor="page" w:xAlign="center" w:yAlign="bottom" w:hRule="exact"/>
      <w:ind w:left="2880"/>
    </w:pPr>
    <w:rPr>
      <w:b/>
      <w:sz w:val="28"/>
    </w:rPr>
  </w:style>
  <w:style w:type="paragraph" w:styleId="BodyText">
    <w:name w:val="Body Text"/>
    <w:basedOn w:val="Normal"/>
    <w:semiHidden/>
    <w:pPr>
      <w:spacing w:line="480" w:lineRule="auto"/>
    </w:pPr>
  </w:style>
  <w:style w:type="paragraph" w:styleId="TxBrp3" w:customStyle="1">
    <w:name w:val="TxBr_p3"/>
    <w:basedOn w:val="Normal"/>
    <w:pPr>
      <w:widowControl w:val="0"/>
      <w:tabs>
        <w:tab w:val="left" w:pos="204"/>
      </w:tabs>
      <w:spacing w:line="240" w:lineRule="atLeast"/>
    </w:pPr>
    <w:rPr>
      <w:snapToGrid w:val="0"/>
    </w:rPr>
  </w:style>
  <w:style w:type="paragraph" w:styleId="TxBrp7" w:customStyle="1">
    <w:name w:val="TxBr_p7"/>
    <w:basedOn w:val="Normal"/>
    <w:pPr>
      <w:widowControl w:val="0"/>
      <w:tabs>
        <w:tab w:val="left" w:pos="311"/>
      </w:tabs>
      <w:spacing w:line="240" w:lineRule="atLeast"/>
      <w:ind w:left="1082" w:hanging="311"/>
    </w:pPr>
    <w:rPr>
      <w:snapToGrid w:val="0"/>
    </w:rPr>
  </w:style>
  <w:style w:type="paragraph" w:styleId="TxBrp8" w:customStyle="1">
    <w:name w:val="TxBr_p8"/>
    <w:basedOn w:val="Normal"/>
    <w:pPr>
      <w:widowControl w:val="0"/>
      <w:tabs>
        <w:tab w:val="left" w:pos="754"/>
        <w:tab w:val="left" w:pos="1462"/>
      </w:tabs>
      <w:spacing w:line="572" w:lineRule="atLeast"/>
      <w:ind w:firstLine="754"/>
    </w:pPr>
    <w:rPr>
      <w:snapToGrid w:val="0"/>
    </w:rPr>
  </w:style>
  <w:style w:type="paragraph" w:styleId="TxBrp9" w:customStyle="1">
    <w:name w:val="TxBr_p9"/>
    <w:basedOn w:val="Normal"/>
    <w:pPr>
      <w:widowControl w:val="0"/>
      <w:tabs>
        <w:tab w:val="left" w:pos="5000"/>
      </w:tabs>
      <w:spacing w:line="240" w:lineRule="atLeast"/>
      <w:ind w:left="3606"/>
    </w:pPr>
    <w:rPr>
      <w:snapToGrid w:val="0"/>
    </w:rPr>
  </w:style>
  <w:style w:type="paragraph" w:styleId="TxBrp13" w:customStyle="1">
    <w:name w:val="TxBr_p13"/>
    <w:basedOn w:val="Normal"/>
    <w:pPr>
      <w:widowControl w:val="0"/>
      <w:tabs>
        <w:tab w:val="left" w:pos="1462"/>
        <w:tab w:val="left" w:pos="2211"/>
      </w:tabs>
      <w:spacing w:line="572" w:lineRule="atLeast"/>
      <w:ind w:firstLine="1463"/>
    </w:pPr>
    <w:rPr>
      <w:snapToGrid w:val="0"/>
    </w:rPr>
  </w:style>
  <w:style w:type="paragraph" w:styleId="TxBrp14" w:customStyle="1">
    <w:name w:val="TxBr_p14"/>
    <w:basedOn w:val="Normal"/>
    <w:pPr>
      <w:widowControl w:val="0"/>
      <w:tabs>
        <w:tab w:val="left" w:pos="2211"/>
        <w:tab w:val="left" w:pos="2919"/>
      </w:tabs>
      <w:spacing w:line="572" w:lineRule="atLeast"/>
      <w:ind w:firstLine="2211"/>
    </w:pPr>
    <w:rPr>
      <w:snapToGrid w:val="0"/>
    </w:rPr>
  </w:style>
  <w:style w:type="paragraph" w:styleId="BodyTextIndent">
    <w:name w:val="Body Text Indent"/>
    <w:basedOn w:val="Normal"/>
    <w:link w:val="BodyTextIndentChar"/>
    <w:semiHidden/>
    <w:pPr>
      <w:ind w:firstLine="720"/>
    </w:pPr>
  </w:style>
  <w:style w:type="paragraph" w:styleId="TxBrp12" w:customStyle="1">
    <w:name w:val="TxBr_p12"/>
    <w:basedOn w:val="Normal"/>
    <w:pPr>
      <w:widowControl w:val="0"/>
      <w:tabs>
        <w:tab w:val="left" w:pos="204"/>
      </w:tabs>
      <w:spacing w:line="572" w:lineRule="atLeast"/>
    </w:pPr>
    <w:rPr>
      <w:snapToGrid w:val="0"/>
    </w:rPr>
  </w:style>
  <w:style w:type="paragraph" w:styleId="TxBrp16" w:customStyle="1">
    <w:name w:val="TxBr_p16"/>
    <w:basedOn w:val="Normal"/>
    <w:pPr>
      <w:widowControl w:val="0"/>
      <w:tabs>
        <w:tab w:val="left" w:pos="4371"/>
      </w:tabs>
      <w:spacing w:line="240" w:lineRule="atLeast"/>
      <w:ind w:left="2977"/>
    </w:pPr>
    <w:rPr>
      <w:snapToGrid w:val="0"/>
    </w:rPr>
  </w:style>
  <w:style w:type="paragraph" w:styleId="TxBrp18" w:customStyle="1">
    <w:name w:val="TxBr_p18"/>
    <w:basedOn w:val="Normal"/>
    <w:pPr>
      <w:widowControl w:val="0"/>
      <w:tabs>
        <w:tab w:val="left" w:pos="4342"/>
      </w:tabs>
      <w:spacing w:line="240" w:lineRule="atLeast"/>
      <w:ind w:left="2949"/>
    </w:pPr>
    <w:rPr>
      <w:snapToGrid w:val="0"/>
    </w:rPr>
  </w:style>
  <w:style w:type="character" w:styleId="BodyTextIndentChar" w:customStyle="1">
    <w:name w:val="Body Text Indent Char"/>
    <w:link w:val="BodyTextIndent"/>
    <w:semiHidden/>
    <w:rsid w:val="005369CD"/>
    <w:rPr>
      <w:sz w:val="24"/>
      <w:lang w:eastAsia="en-US"/>
    </w:rPr>
  </w:style>
  <w:style w:type="paragraph" w:styleId="NoSpacing">
    <w:name w:val="No Spacing"/>
    <w:uiPriority w:val="1"/>
    <w:qFormat/>
    <w:rsid w:val="005369CD"/>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1ae6fbb-4e2c-48b7-8c7c-b89e86a0d2ee">
      <UserInfo>
        <DisplayName/>
        <AccountId xsi:nil="true"/>
        <AccountType/>
      </UserInfo>
    </SharedWithUsers>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CC01C008-818E-4A39-BD14-37C67B81965B}"/>
</file>

<file path=customXml/itemProps2.xml><?xml version="1.0" encoding="utf-8"?>
<ds:datastoreItem xmlns:ds="http://schemas.openxmlformats.org/officeDocument/2006/customXml" ds:itemID="{371B1201-A718-4EA9-9975-EB817923FB8F}"/>
</file>

<file path=customXml/itemProps3.xml><?xml version="1.0" encoding="utf-8"?>
<ds:datastoreItem xmlns:ds="http://schemas.openxmlformats.org/officeDocument/2006/customXml" ds:itemID="{4380A936-1E50-45BA-8AA0-82E32C1680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HENDRICKS COUNTY INDIANA</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subject/>
  <dc:creator>HENDRICKS COUNTY</dc:creator>
  <cp:keywords/>
  <cp:lastModifiedBy>Houdek, Elizabeth</cp:lastModifiedBy>
  <cp:revision>3</cp:revision>
  <cp:lastPrinted>2001-08-24T15:28:00Z</cp:lastPrinted>
  <dcterms:created xsi:type="dcterms:W3CDTF">2020-08-07T19:42:00Z</dcterms:created>
  <dcterms:modified xsi:type="dcterms:W3CDTF">2021-04-27T19:59:02Z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Order">
    <vt:r8>6341500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