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F5433" w:rsidR="00DB7955" w:rsidP="20F2C0F6" w:rsidRDefault="00DB7955" w14:paraId="4A336EA0" w14:textId="779D8867">
      <w:pPr>
        <w:jc w:val="center"/>
        <w:rPr>
          <w:rFonts w:ascii="Times New Roman" w:hAnsi="Times New Roman" w:cs="Times New Roman"/>
          <w:b w:val="1"/>
          <w:bCs w:val="1"/>
        </w:rPr>
      </w:pPr>
      <w:r w:rsidRPr="20F2C0F6" w:rsidR="2231A0FB">
        <w:rPr>
          <w:rFonts w:ascii="Times New Roman" w:hAnsi="Times New Roman" w:cs="Times New Roman"/>
          <w:b w:val="1"/>
          <w:bCs w:val="1"/>
        </w:rPr>
        <w:t>[CAPTION]</w:t>
      </w:r>
    </w:p>
    <w:p w:rsidRPr="002F5433" w:rsidR="00DB7955" w:rsidP="00DB7955" w:rsidRDefault="00DB7955" w14:paraId="3C3991DE" w14:textId="6923B3F3">
      <w:pPr>
        <w:jc w:val="center"/>
        <w:rPr>
          <w:rFonts w:ascii="Times New Roman" w:hAnsi="Times New Roman" w:cs="Times New Roman"/>
          <w:b/>
          <w:bCs w:val="0"/>
          <w:u w:val="single"/>
        </w:rPr>
      </w:pPr>
      <w:r w:rsidRPr="002F5433">
        <w:rPr>
          <w:rFonts w:ascii="Times New Roman" w:hAnsi="Times New Roman" w:cs="Times New Roman"/>
          <w:b/>
          <w:bCs w:val="0"/>
          <w:u w:val="single"/>
        </w:rPr>
        <w:t>BRIEF IN SUPPORT OF MOTION TO DEPOSE CHILD WITNESS</w:t>
      </w:r>
    </w:p>
    <w:p w:rsidRPr="002F5433" w:rsidR="00DB7955" w:rsidP="00DB7955" w:rsidRDefault="00DB7955" w14:paraId="35C288BE" w14:textId="0304A4D6">
      <w:pPr>
        <w:rPr>
          <w:rFonts w:ascii="Times New Roman" w:hAnsi="Times New Roman" w:cs="Times New Roman"/>
        </w:rPr>
      </w:pPr>
    </w:p>
    <w:p w:rsidR="002A4A6B" w:rsidP="007C0FCA" w:rsidRDefault="00DB7955" w14:paraId="23D8548F" w14:textId="2B20EAA7">
      <w:pPr>
        <w:spacing w:line="480" w:lineRule="auto"/>
        <w:jc w:val="both"/>
        <w:rPr>
          <w:rFonts w:ascii="Times New Roman" w:hAnsi="Times New Roman" w:cs="Times New Roman"/>
        </w:rPr>
      </w:pPr>
      <w:r w:rsidRPr="002F5433">
        <w:rPr>
          <w:rFonts w:ascii="Times New Roman" w:hAnsi="Times New Roman" w:cs="Times New Roman"/>
        </w:rPr>
        <w:tab/>
      </w:r>
      <w:r w:rsidRPr="002F5433" w:rsidR="00DB7955">
        <w:rPr>
          <w:rFonts w:ascii="Times New Roman" w:hAnsi="Times New Roman" w:cs="Times New Roman"/>
        </w:rPr>
        <w:t xml:space="preserve">Defendant, </w:t>
      </w:r>
      <w:r w:rsidRPr="002F5433" w:rsidR="60B972A8">
        <w:rPr>
          <w:rFonts w:ascii="Times New Roman" w:hAnsi="Times New Roman" w:cs="Times New Roman"/>
        </w:rPr>
        <w:t xml:space="preserve">[Name]</w:t>
      </w:r>
      <w:r w:rsidRPr="002F5433" w:rsidR="00DB7955">
        <w:rPr>
          <w:rFonts w:ascii="Times New Roman" w:hAnsi="Times New Roman" w:cs="Times New Roman"/>
        </w:rPr>
        <w:t xml:space="preserve">, by counsel, hereby submits his brief in support of the </w:t>
      </w:r>
      <w:r w:rsidRPr="002F5433" w:rsidR="00DB7955">
        <w:rPr>
          <w:rFonts w:ascii="Times New Roman" w:hAnsi="Times New Roman" w:cs="Times New Roman"/>
          <w:u w:val="single"/>
        </w:rPr>
        <w:t>Motion to Depose Child Witness</w:t>
      </w:r>
      <w:r w:rsidRPr="002F5433" w:rsidR="00DB7955">
        <w:rPr>
          <w:rFonts w:ascii="Times New Roman" w:hAnsi="Times New Roman" w:cs="Times New Roman"/>
        </w:rPr>
        <w:t xml:space="preserve"> filed herewith.</w:t>
      </w:r>
    </w:p>
    <w:p w:rsidRPr="009E6354" w:rsidR="009E6354" w:rsidP="009E6354" w:rsidRDefault="009E6354" w14:paraId="628A8F14" w14:textId="5470D74B">
      <w:pPr>
        <w:spacing w:line="480" w:lineRule="auto"/>
        <w:jc w:val="center"/>
        <w:rPr>
          <w:rFonts w:ascii="Times New Roman" w:hAnsi="Times New Roman" w:cs="Times New Roman"/>
          <w:b/>
          <w:bCs w:val="0"/>
          <w:smallCaps/>
        </w:rPr>
      </w:pPr>
      <w:r>
        <w:rPr>
          <w:rFonts w:ascii="Times New Roman" w:hAnsi="Times New Roman" w:cs="Times New Roman"/>
          <w:b/>
          <w:bCs w:val="0"/>
          <w:smallCaps/>
        </w:rPr>
        <w:t>Introduction and Summary of the Argument</w:t>
      </w:r>
    </w:p>
    <w:p w:rsidR="00C941C1" w:rsidP="00C80EF3" w:rsidRDefault="00C941C1" w14:paraId="7189636B" w14:textId="22DF2F2B">
      <w:pPr>
        <w:spacing w:line="480" w:lineRule="auto"/>
        <w:ind w:firstLine="720"/>
        <w:jc w:val="both"/>
        <w:rPr>
          <w:rFonts w:ascii="Times New Roman" w:hAnsi="Times New Roman" w:cs="Times New Roman"/>
        </w:rPr>
      </w:pPr>
      <w:r>
        <w:rPr>
          <w:rFonts w:ascii="Times New Roman" w:hAnsi="Times New Roman" w:cs="Times New Roman"/>
        </w:rPr>
        <w:t>No one can seriously dispute that a person standing accused of a crime has a right to defend himself.</w:t>
      </w:r>
      <w:r w:rsidR="00B91D05">
        <w:rPr>
          <w:rFonts w:ascii="Times New Roman" w:hAnsi="Times New Roman" w:cs="Times New Roman"/>
        </w:rPr>
        <w:t xml:space="preserve">  Such a defense does not begin and end in the courtroom</w:t>
      </w:r>
      <w:r w:rsidR="00DF04D1">
        <w:rPr>
          <w:rFonts w:ascii="Times New Roman" w:hAnsi="Times New Roman" w:cs="Times New Roman"/>
        </w:rPr>
        <w:t xml:space="preserve"> in a trial by one’s peers.  Trial by ambush is a </w:t>
      </w:r>
      <w:r w:rsidR="002E004E">
        <w:rPr>
          <w:rFonts w:ascii="Times New Roman" w:hAnsi="Times New Roman" w:cs="Times New Roman"/>
        </w:rPr>
        <w:t xml:space="preserve">thing of the past.  The modern practice of law requires the competent defense attorney to appear in court ready </w:t>
      </w:r>
      <w:r w:rsidR="00CC1C06">
        <w:rPr>
          <w:rFonts w:ascii="Times New Roman" w:hAnsi="Times New Roman" w:cs="Times New Roman"/>
        </w:rPr>
        <w:t xml:space="preserve">for what the State’s witnesses will say.  The able defense attorney will even know exactly what the witness will </w:t>
      </w:r>
      <w:r w:rsidR="0022106E">
        <w:rPr>
          <w:rFonts w:ascii="Times New Roman" w:hAnsi="Times New Roman" w:cs="Times New Roman"/>
        </w:rPr>
        <w:t>say and</w:t>
      </w:r>
      <w:r w:rsidR="004D43AA">
        <w:rPr>
          <w:rFonts w:ascii="Times New Roman" w:hAnsi="Times New Roman" w:cs="Times New Roman"/>
        </w:rPr>
        <w:t xml:space="preserve"> be prepared to test the credibility of that testimony.</w:t>
      </w:r>
      <w:r w:rsidR="00225E4E">
        <w:rPr>
          <w:rFonts w:ascii="Times New Roman" w:hAnsi="Times New Roman" w:cs="Times New Roman"/>
        </w:rPr>
        <w:t xml:space="preserve">  Cases may even arise where the defense attorney learns that no such testing is possible</w:t>
      </w:r>
      <w:r w:rsidR="00EE4B03">
        <w:rPr>
          <w:rFonts w:ascii="Times New Roman" w:hAnsi="Times New Roman" w:cs="Times New Roman"/>
        </w:rPr>
        <w:t>.  T</w:t>
      </w:r>
      <w:r w:rsidR="0022106E">
        <w:rPr>
          <w:rFonts w:ascii="Times New Roman" w:hAnsi="Times New Roman" w:cs="Times New Roman"/>
        </w:rPr>
        <w:t xml:space="preserve">hose cases </w:t>
      </w:r>
      <w:r w:rsidR="00EE4B03">
        <w:rPr>
          <w:rFonts w:ascii="Times New Roman" w:hAnsi="Times New Roman" w:cs="Times New Roman"/>
        </w:rPr>
        <w:t xml:space="preserve">often </w:t>
      </w:r>
      <w:r w:rsidR="0022106E">
        <w:rPr>
          <w:rFonts w:ascii="Times New Roman" w:hAnsi="Times New Roman" w:cs="Times New Roman"/>
        </w:rPr>
        <w:t xml:space="preserve">get resolved through </w:t>
      </w:r>
      <w:r w:rsidR="00EE4B03">
        <w:rPr>
          <w:rFonts w:ascii="Times New Roman" w:hAnsi="Times New Roman" w:cs="Times New Roman"/>
        </w:rPr>
        <w:t xml:space="preserve">the </w:t>
      </w:r>
      <w:proofErr w:type="gramStart"/>
      <w:r w:rsidR="0022106E">
        <w:rPr>
          <w:rFonts w:ascii="Times New Roman" w:hAnsi="Times New Roman" w:cs="Times New Roman"/>
        </w:rPr>
        <w:t>plea bargaining</w:t>
      </w:r>
      <w:proofErr w:type="gramEnd"/>
      <w:r w:rsidR="00EE4B03">
        <w:rPr>
          <w:rFonts w:ascii="Times New Roman" w:hAnsi="Times New Roman" w:cs="Times New Roman"/>
        </w:rPr>
        <w:t xml:space="preserve"> process</w:t>
      </w:r>
      <w:r w:rsidR="0022106E">
        <w:rPr>
          <w:rFonts w:ascii="Times New Roman" w:hAnsi="Times New Roman" w:cs="Times New Roman"/>
        </w:rPr>
        <w:t>.</w:t>
      </w:r>
    </w:p>
    <w:p w:rsidR="00D77AF0" w:rsidP="00C80EF3" w:rsidRDefault="00D77AF0" w14:paraId="55CE2451" w14:textId="1E691283">
      <w:pPr>
        <w:spacing w:line="480" w:lineRule="auto"/>
        <w:ind w:firstLine="720"/>
        <w:jc w:val="both"/>
        <w:rPr>
          <w:rFonts w:ascii="Times New Roman" w:hAnsi="Times New Roman" w:cs="Times New Roman"/>
        </w:rPr>
      </w:pPr>
      <w:r w:rsidRPr="20F2C0F6" w:rsidR="00D77AF0">
        <w:rPr>
          <w:rFonts w:ascii="Times New Roman" w:hAnsi="Times New Roman" w:cs="Times New Roman"/>
        </w:rPr>
        <w:t xml:space="preserve">In recognition of these points, the Indiana Supreme Court has given litigants access to the free and liberal use of depositions.  In many cases, nothing less than a </w:t>
      </w:r>
      <w:r w:rsidRPr="20F2C0F6" w:rsidR="00F41A73">
        <w:rPr>
          <w:rFonts w:ascii="Times New Roman" w:hAnsi="Times New Roman" w:cs="Times New Roman"/>
        </w:rPr>
        <w:t>deposition of the State’s key witnesses will allow a defense attorney to properly evaluate a case and advise the accused accordingly.</w:t>
      </w:r>
      <w:r w:rsidRPr="20F2C0F6" w:rsidR="00060FDE">
        <w:rPr>
          <w:rFonts w:ascii="Times New Roman" w:hAnsi="Times New Roman" w:cs="Times New Roman"/>
        </w:rPr>
        <w:t xml:space="preserve">  In this case, </w:t>
      </w:r>
      <w:r w:rsidRPr="20F2C0F6" w:rsidR="60B972A8">
        <w:rPr>
          <w:rFonts w:ascii="Times New Roman" w:hAnsi="Times New Roman" w:cs="Times New Roman"/>
        </w:rPr>
        <w:t>[Name]</w:t>
      </w:r>
      <w:r w:rsidRPr="20F2C0F6" w:rsidR="00060FDE">
        <w:rPr>
          <w:rFonts w:ascii="Times New Roman" w:hAnsi="Times New Roman" w:cs="Times New Roman"/>
        </w:rPr>
        <w:t xml:space="preserve"> is attempting to take a deposition authorized by the procedural rules promulgated by the Indiana Supreme Court.  However, the </w:t>
      </w:r>
      <w:r w:rsidRPr="20F2C0F6" w:rsidR="00B83FA9">
        <w:rPr>
          <w:rFonts w:ascii="Times New Roman" w:hAnsi="Times New Roman" w:cs="Times New Roman"/>
        </w:rPr>
        <w:t xml:space="preserve">State, invoking Indiana Code, Section 35-40-5-11.5, is attempting to deny </w:t>
      </w:r>
      <w:r w:rsidRPr="20F2C0F6" w:rsidR="7BF36477">
        <w:rPr>
          <w:rFonts w:ascii="Times New Roman" w:hAnsi="Times New Roman" w:cs="Times New Roman"/>
        </w:rPr>
        <w:t>[Name]</w:t>
      </w:r>
      <w:r w:rsidRPr="20F2C0F6" w:rsidR="00B83FA9">
        <w:rPr>
          <w:rFonts w:ascii="Times New Roman" w:hAnsi="Times New Roman" w:cs="Times New Roman"/>
        </w:rPr>
        <w:t xml:space="preserve"> </w:t>
      </w:r>
      <w:r w:rsidRPr="20F2C0F6" w:rsidR="001515E5">
        <w:rPr>
          <w:rFonts w:ascii="Times New Roman" w:hAnsi="Times New Roman" w:cs="Times New Roman"/>
        </w:rPr>
        <w:t>access to this common procedural device.</w:t>
      </w:r>
    </w:p>
    <w:p w:rsidR="001515E5" w:rsidP="00C80EF3" w:rsidRDefault="001515E5" w14:paraId="03ECC89E" w14:textId="0D734ECE">
      <w:pPr>
        <w:spacing w:line="480" w:lineRule="auto"/>
        <w:ind w:firstLine="720"/>
        <w:jc w:val="both"/>
        <w:rPr>
          <w:rFonts w:ascii="Times New Roman" w:hAnsi="Times New Roman" w:cs="Times New Roman"/>
        </w:rPr>
      </w:pPr>
      <w:r w:rsidRPr="20F2C0F6" w:rsidR="001515E5">
        <w:rPr>
          <w:rFonts w:ascii="Times New Roman" w:hAnsi="Times New Roman" w:cs="Times New Roman"/>
        </w:rPr>
        <w:t xml:space="preserve">Neither the Prosecuting Attorney nor this Court may rely upon this recently enacted statute to categorically deny </w:t>
      </w:r>
      <w:r w:rsidRPr="20F2C0F6" w:rsidR="7BF36477">
        <w:rPr>
          <w:rFonts w:ascii="Times New Roman" w:hAnsi="Times New Roman" w:cs="Times New Roman"/>
        </w:rPr>
        <w:t>[Name]</w:t>
      </w:r>
      <w:r w:rsidRPr="20F2C0F6" w:rsidR="00B943F1">
        <w:rPr>
          <w:rFonts w:ascii="Times New Roman" w:hAnsi="Times New Roman" w:cs="Times New Roman"/>
        </w:rPr>
        <w:t xml:space="preserve"> a deposition of the State’s chief witness.  The statute is a nullity</w:t>
      </w:r>
      <w:r w:rsidRPr="20F2C0F6" w:rsidR="00F94F1C">
        <w:rPr>
          <w:rFonts w:ascii="Times New Roman" w:hAnsi="Times New Roman" w:cs="Times New Roman"/>
        </w:rPr>
        <w:t xml:space="preserve">.  It is the exclusive </w:t>
      </w:r>
      <w:r w:rsidRPr="20F2C0F6" w:rsidR="00F94F1C">
        <w:rPr>
          <w:rFonts w:ascii="Times New Roman" w:hAnsi="Times New Roman" w:cs="Times New Roman"/>
        </w:rPr>
        <w:t xml:space="preserve">prerogative </w:t>
      </w:r>
      <w:r w:rsidRPr="20F2C0F6" w:rsidR="002B56E8">
        <w:rPr>
          <w:rFonts w:ascii="Times New Roman" w:hAnsi="Times New Roman" w:cs="Times New Roman"/>
        </w:rPr>
        <w:t xml:space="preserve">of the Indiana Supreme Court to establish procedural </w:t>
      </w:r>
      <w:r w:rsidRPr="20F2C0F6" w:rsidR="009C0B68">
        <w:rPr>
          <w:rFonts w:ascii="Times New Roman" w:hAnsi="Times New Roman" w:cs="Times New Roman"/>
        </w:rPr>
        <w:t>rules governing the course of litigation.  Moreover, the statute delegates to prosecutors</w:t>
      </w:r>
      <w:r w:rsidRPr="20F2C0F6" w:rsidR="000E5C3F">
        <w:rPr>
          <w:rFonts w:ascii="Times New Roman" w:hAnsi="Times New Roman" w:cs="Times New Roman"/>
        </w:rPr>
        <w:t xml:space="preserve"> what is essentially a judicial function, </w:t>
      </w:r>
      <w:r w:rsidRPr="20F2C0F6" w:rsidR="000E5C3F">
        <w:rPr>
          <w:rFonts w:ascii="Times New Roman" w:hAnsi="Times New Roman" w:cs="Times New Roman"/>
          <w:i w:val="1"/>
          <w:iCs w:val="1"/>
        </w:rPr>
        <w:t>i.e.</w:t>
      </w:r>
      <w:r w:rsidRPr="20F2C0F6" w:rsidR="000E5C3F">
        <w:rPr>
          <w:rFonts w:ascii="Times New Roman" w:hAnsi="Times New Roman" w:cs="Times New Roman"/>
        </w:rPr>
        <w:t xml:space="preserve">, overseeing and </w:t>
      </w:r>
      <w:r w:rsidRPr="20F2C0F6" w:rsidR="00F12EC7">
        <w:rPr>
          <w:rFonts w:ascii="Times New Roman" w:hAnsi="Times New Roman" w:cs="Times New Roman"/>
        </w:rPr>
        <w:t xml:space="preserve">managing discovery.  In either case, the statute at issue is facially </w:t>
      </w:r>
      <w:r w:rsidRPr="20F2C0F6" w:rsidR="009B3F6B">
        <w:rPr>
          <w:rFonts w:ascii="Times New Roman" w:hAnsi="Times New Roman" w:cs="Times New Roman"/>
        </w:rPr>
        <w:t>invalid and an unconstitutional violation of the separation of powers as set forth in the Indiana Constitution.</w:t>
      </w:r>
    </w:p>
    <w:p w:rsidRPr="000E5C3F" w:rsidR="00F65319" w:rsidP="00C80EF3" w:rsidRDefault="00F65319" w14:paraId="45A5D3C2" w14:textId="0828B8B8">
      <w:pPr>
        <w:spacing w:line="480" w:lineRule="auto"/>
        <w:ind w:firstLine="720"/>
        <w:jc w:val="both"/>
        <w:rPr>
          <w:rFonts w:ascii="Times New Roman" w:hAnsi="Times New Roman" w:cs="Times New Roman"/>
        </w:rPr>
      </w:pPr>
      <w:r w:rsidRPr="20F2C0F6" w:rsidR="00F65319">
        <w:rPr>
          <w:rFonts w:ascii="Times New Roman" w:hAnsi="Times New Roman" w:cs="Times New Roman"/>
        </w:rPr>
        <w:t xml:space="preserve">Defendant should be allowed to take </w:t>
      </w:r>
      <w:r w:rsidRPr="20F2C0F6" w:rsidR="00D44B0D">
        <w:rPr>
          <w:rFonts w:ascii="Times New Roman" w:hAnsi="Times New Roman" w:cs="Times New Roman"/>
        </w:rPr>
        <w:t xml:space="preserve">the deposition he has requested.  Rule 21 of the </w:t>
      </w:r>
      <w:r w:rsidRPr="20F2C0F6" w:rsidR="00FF57EB">
        <w:rPr>
          <w:rFonts w:ascii="Times New Roman" w:hAnsi="Times New Roman" w:cs="Times New Roman"/>
        </w:rPr>
        <w:t>Indiana Rules of Criminal Procedure extends the scope of the Indiana Rules of Trial Procedure to criminal matters</w:t>
      </w:r>
      <w:r w:rsidRPr="20F2C0F6" w:rsidR="00B233D8">
        <w:rPr>
          <w:rFonts w:ascii="Times New Roman" w:hAnsi="Times New Roman" w:cs="Times New Roman"/>
        </w:rPr>
        <w:t>.</w:t>
      </w:r>
      <w:r w:rsidRPr="20F2C0F6" w:rsidR="00A26DFE">
        <w:rPr>
          <w:rFonts w:ascii="Times New Roman" w:hAnsi="Times New Roman" w:cs="Times New Roman"/>
        </w:rPr>
        <w:t xml:space="preserve">  </w:t>
      </w:r>
      <w:r w:rsidRPr="20F2C0F6" w:rsidR="00A26DFE">
        <w:rPr>
          <w:rFonts w:ascii="Times New Roman" w:hAnsi="Times New Roman" w:cs="Times New Roman"/>
        </w:rPr>
        <w:t>Additionally,</w:t>
      </w:r>
      <w:r w:rsidRPr="20F2C0F6" w:rsidR="00A26DFE">
        <w:rPr>
          <w:rFonts w:ascii="Times New Roman" w:hAnsi="Times New Roman" w:cs="Times New Roman"/>
        </w:rPr>
        <w:t xml:space="preserve"> </w:t>
      </w:r>
      <w:r w:rsidRPr="20F2C0F6" w:rsidR="00A26DFE">
        <w:rPr>
          <w:rFonts w:ascii="Times New Roman" w:hAnsi="Times New Roman" w:cs="Times New Roman"/>
        </w:rPr>
        <w:t>Indiana Code, Section 35-37-4-3 provides that depositions in a criminal matter are governed by the Indiana Rules of Trial Procedure.</w:t>
      </w:r>
      <w:r w:rsidRPr="20F2C0F6" w:rsidR="00B233D8">
        <w:rPr>
          <w:rFonts w:ascii="Times New Roman" w:hAnsi="Times New Roman" w:cs="Times New Roman"/>
        </w:rPr>
        <w:t xml:space="preserve">  Within the Indiana Rules of Trial Procedure, Rule 26 allows parties to obtain discovery</w:t>
      </w:r>
      <w:r w:rsidRPr="20F2C0F6" w:rsidR="00241403">
        <w:rPr>
          <w:rFonts w:ascii="Times New Roman" w:hAnsi="Times New Roman" w:cs="Times New Roman"/>
        </w:rPr>
        <w:t>, in part,</w:t>
      </w:r>
      <w:r w:rsidRPr="20F2C0F6" w:rsidR="00B233D8">
        <w:rPr>
          <w:rFonts w:ascii="Times New Roman" w:hAnsi="Times New Roman" w:cs="Times New Roman"/>
        </w:rPr>
        <w:t xml:space="preserve"> </w:t>
      </w:r>
      <w:r w:rsidRPr="20F2C0F6" w:rsidR="00D6775E">
        <w:rPr>
          <w:rFonts w:ascii="Times New Roman" w:hAnsi="Times New Roman" w:cs="Times New Roman"/>
        </w:rPr>
        <w:t>by</w:t>
      </w:r>
      <w:r w:rsidRPr="20F2C0F6" w:rsidR="00241403">
        <w:rPr>
          <w:rFonts w:ascii="Times New Roman" w:hAnsi="Times New Roman" w:cs="Times New Roman"/>
        </w:rPr>
        <w:t xml:space="preserve"> “[d]</w:t>
      </w:r>
      <w:proofErr w:type="spellStart"/>
      <w:r w:rsidRPr="20F2C0F6" w:rsidR="00241403">
        <w:rPr>
          <w:rFonts w:ascii="Times New Roman" w:hAnsi="Times New Roman" w:cs="Times New Roman"/>
        </w:rPr>
        <w:t>epositions</w:t>
      </w:r>
      <w:proofErr w:type="spellEnd"/>
      <w:r w:rsidRPr="20F2C0F6" w:rsidR="00241403">
        <w:rPr>
          <w:rFonts w:ascii="Times New Roman" w:hAnsi="Times New Roman" w:cs="Times New Roman"/>
        </w:rPr>
        <w:t xml:space="preserve"> upon oral examination or written questions.”  </w:t>
      </w:r>
      <w:r w:rsidRPr="20F2C0F6" w:rsidR="00AE604A">
        <w:rPr>
          <w:rFonts w:ascii="Times New Roman" w:hAnsi="Times New Roman" w:cs="Times New Roman"/>
        </w:rPr>
        <w:t xml:space="preserve">Those depositions </w:t>
      </w:r>
      <w:r w:rsidRPr="20F2C0F6" w:rsidR="0063640B">
        <w:rPr>
          <w:rFonts w:ascii="Times New Roman" w:hAnsi="Times New Roman" w:cs="Times New Roman"/>
        </w:rPr>
        <w:t>can</w:t>
      </w:r>
      <w:r w:rsidRPr="20F2C0F6" w:rsidR="00AE604A">
        <w:rPr>
          <w:rFonts w:ascii="Times New Roman" w:hAnsi="Times New Roman" w:cs="Times New Roman"/>
        </w:rPr>
        <w:t xml:space="preserve"> cover “any matter, not privileged, which is relevant </w:t>
      </w:r>
      <w:r w:rsidRPr="20F2C0F6" w:rsidR="008A0A49">
        <w:rPr>
          <w:rFonts w:ascii="Times New Roman" w:hAnsi="Times New Roman" w:cs="Times New Roman"/>
        </w:rPr>
        <w:t xml:space="preserve">to the subject-matter involved in the pending action.”  Ind. Trial Rule 26(B)(1).  </w:t>
      </w:r>
      <w:r w:rsidRPr="20F2C0F6" w:rsidR="00442D32">
        <w:rPr>
          <w:rFonts w:ascii="Times New Roman" w:hAnsi="Times New Roman" w:cs="Times New Roman"/>
        </w:rPr>
        <w:t>In an expression of the broad scope of depositions, Rule 26(A) of the Indiana Rules of Trial Procedure clearly sets forth</w:t>
      </w:r>
      <w:r w:rsidRPr="20F2C0F6" w:rsidR="004A1D2D">
        <w:rPr>
          <w:rFonts w:ascii="Times New Roman" w:hAnsi="Times New Roman" w:cs="Times New Roman"/>
        </w:rPr>
        <w:t xml:space="preserve"> that “[u]</w:t>
      </w:r>
      <w:proofErr w:type="spellStart"/>
      <w:r w:rsidRPr="20F2C0F6" w:rsidR="004A1D2D">
        <w:rPr>
          <w:rFonts w:ascii="Times New Roman" w:hAnsi="Times New Roman" w:cs="Times New Roman"/>
        </w:rPr>
        <w:t>nless</w:t>
      </w:r>
      <w:proofErr w:type="spellEnd"/>
      <w:r w:rsidRPr="20F2C0F6" w:rsidR="004A1D2D">
        <w:rPr>
          <w:rFonts w:ascii="Times New Roman" w:hAnsi="Times New Roman" w:cs="Times New Roman"/>
        </w:rPr>
        <w:t xml:space="preserve"> the court orders otherwise under subdivision (C) of this rule, the frequency of use of these methods </w:t>
      </w:r>
      <w:r w:rsidRPr="20F2C0F6" w:rsidR="00637558">
        <w:rPr>
          <w:rFonts w:ascii="Times New Roman" w:hAnsi="Times New Roman" w:cs="Times New Roman"/>
        </w:rPr>
        <w:t>is not limited.”</w:t>
      </w:r>
      <w:r w:rsidRPr="20F2C0F6" w:rsidR="00A73CD7">
        <w:rPr>
          <w:rFonts w:ascii="Times New Roman" w:hAnsi="Times New Roman" w:cs="Times New Roman"/>
        </w:rPr>
        <w:t xml:space="preserve">  Ind. Trial Rule 26(A).  Here, </w:t>
      </w:r>
      <w:r w:rsidRPr="20F2C0F6" w:rsidR="7BF36477">
        <w:rPr>
          <w:rFonts w:ascii="Times New Roman" w:hAnsi="Times New Roman" w:cs="Times New Roman"/>
        </w:rPr>
        <w:t>[Name]</w:t>
      </w:r>
      <w:r w:rsidRPr="20F2C0F6" w:rsidR="00A73CD7">
        <w:rPr>
          <w:rFonts w:ascii="Times New Roman" w:hAnsi="Times New Roman" w:cs="Times New Roman"/>
        </w:rPr>
        <w:t xml:space="preserve"> is seeking to obtain discovery by deposition upon oral examination</w:t>
      </w:r>
      <w:r w:rsidRPr="20F2C0F6" w:rsidR="002507C3">
        <w:rPr>
          <w:rFonts w:ascii="Times New Roman" w:hAnsi="Times New Roman" w:cs="Times New Roman"/>
        </w:rPr>
        <w:t xml:space="preserve"> of the State’s chief witness.  </w:t>
      </w:r>
      <w:r w:rsidRPr="20F2C0F6" w:rsidR="7BF36477">
        <w:rPr>
          <w:rFonts w:ascii="Times New Roman" w:hAnsi="Times New Roman" w:cs="Times New Roman"/>
        </w:rPr>
        <w:t>[Name]</w:t>
      </w:r>
      <w:r w:rsidRPr="20F2C0F6" w:rsidR="002507C3">
        <w:rPr>
          <w:rFonts w:ascii="Times New Roman" w:hAnsi="Times New Roman" w:cs="Times New Roman"/>
        </w:rPr>
        <w:t xml:space="preserve"> intends such deposition to cover the allegations he must answer for in court.  There can be no dispute that the Indiana Rules of Trial Procedure would allow such a deposition.</w:t>
      </w:r>
    </w:p>
    <w:p w:rsidR="00A85985" w:rsidP="00C80EF3" w:rsidRDefault="00A85985" w14:paraId="2D66069E" w14:textId="5D55109D">
      <w:pPr>
        <w:spacing w:line="480" w:lineRule="auto"/>
        <w:ind w:firstLine="720"/>
        <w:jc w:val="both"/>
        <w:rPr>
          <w:rFonts w:ascii="Times New Roman" w:hAnsi="Times New Roman" w:cs="Times New Roman"/>
        </w:rPr>
      </w:pPr>
      <w:r w:rsidRPr="20F2C0F6" w:rsidR="00A85985">
        <w:rPr>
          <w:rFonts w:ascii="Times New Roman" w:hAnsi="Times New Roman" w:cs="Times New Roman"/>
        </w:rPr>
        <w:t>The Prosecuting Attorney should not be allowed to dictate the applications of the Indiana Rules of Trial Procedure</w:t>
      </w:r>
      <w:r w:rsidRPr="20F2C0F6" w:rsidR="006A7242">
        <w:rPr>
          <w:rFonts w:ascii="Times New Roman" w:hAnsi="Times New Roman" w:cs="Times New Roman"/>
        </w:rPr>
        <w:t xml:space="preserve">.  Yet, the State has attempted to block </w:t>
      </w:r>
      <w:r w:rsidRPr="20F2C0F6" w:rsidR="7BF36477">
        <w:rPr>
          <w:rFonts w:ascii="Times New Roman" w:hAnsi="Times New Roman" w:cs="Times New Roman"/>
        </w:rPr>
        <w:t>[Name]</w:t>
      </w:r>
      <w:r w:rsidRPr="20F2C0F6" w:rsidR="006A7242">
        <w:rPr>
          <w:rFonts w:ascii="Times New Roman" w:hAnsi="Times New Roman" w:cs="Times New Roman"/>
        </w:rPr>
        <w:t xml:space="preserve">’s discovery.  According to the State, </w:t>
      </w:r>
      <w:r w:rsidRPr="20F2C0F6" w:rsidR="7BF36477">
        <w:rPr>
          <w:rFonts w:ascii="Times New Roman" w:hAnsi="Times New Roman" w:cs="Times New Roman"/>
        </w:rPr>
        <w:t>[Name]</w:t>
      </w:r>
      <w:r w:rsidRPr="20F2C0F6" w:rsidR="006A7242">
        <w:rPr>
          <w:rFonts w:ascii="Times New Roman" w:hAnsi="Times New Roman" w:cs="Times New Roman"/>
        </w:rPr>
        <w:t xml:space="preserve"> seeks to depose a “child victim</w:t>
      </w:r>
      <w:r w:rsidRPr="20F2C0F6" w:rsidR="004201F3">
        <w:rPr>
          <w:rFonts w:ascii="Times New Roman" w:hAnsi="Times New Roman" w:cs="Times New Roman"/>
        </w:rPr>
        <w:t>,” and, as the argument goes, Indiana Code, Section 35-40-5-11.5 sets forth an exclusive method by which a defendant may obtain a deposition in such cases.</w:t>
      </w:r>
      <w:r w:rsidRPr="20F2C0F6" w:rsidR="008400DE">
        <w:rPr>
          <w:rFonts w:ascii="Times New Roman" w:hAnsi="Times New Roman" w:cs="Times New Roman"/>
        </w:rPr>
        <w:t xml:space="preserve">  However, “[r]</w:t>
      </w:r>
      <w:proofErr w:type="spellStart"/>
      <w:r w:rsidRPr="20F2C0F6" w:rsidR="008400DE">
        <w:rPr>
          <w:rFonts w:ascii="Times New Roman" w:hAnsi="Times New Roman" w:cs="Times New Roman"/>
        </w:rPr>
        <w:t>egardless</w:t>
      </w:r>
      <w:proofErr w:type="spellEnd"/>
      <w:r w:rsidRPr="20F2C0F6" w:rsidR="008400DE">
        <w:rPr>
          <w:rFonts w:ascii="Times New Roman" w:hAnsi="Times New Roman" w:cs="Times New Roman"/>
        </w:rPr>
        <w:t xml:space="preserve"> of what the legislature may enact, it is the exclusive </w:t>
      </w:r>
      <w:r w:rsidRPr="20F2C0F6" w:rsidR="00E9335C">
        <w:rPr>
          <w:rFonts w:ascii="Times New Roman" w:hAnsi="Times New Roman" w:cs="Times New Roman"/>
        </w:rPr>
        <w:t>prerogative of the Indiana Supreme Court to establish procedural rules governing the course of litigation, and any legislative enactment which infringes upon that prerogative must yield</w:t>
      </w:r>
      <w:r w:rsidRPr="20F2C0F6" w:rsidR="002E6E76">
        <w:rPr>
          <w:rFonts w:ascii="Times New Roman" w:hAnsi="Times New Roman" w:cs="Times New Roman"/>
        </w:rPr>
        <w:t>.</w:t>
      </w:r>
      <w:r w:rsidRPr="20F2C0F6" w:rsidR="009C2484">
        <w:rPr>
          <w:rFonts w:ascii="Times New Roman" w:hAnsi="Times New Roman" w:cs="Times New Roman"/>
        </w:rPr>
        <w:t xml:space="preserve">”  </w:t>
      </w:r>
      <w:r w:rsidRPr="20F2C0F6" w:rsidR="009C2484">
        <w:rPr>
          <w:rFonts w:ascii="Times New Roman" w:hAnsi="Times New Roman" w:cs="Times New Roman"/>
          <w:i w:val="1"/>
          <w:iCs w:val="1"/>
        </w:rPr>
        <w:t>Otterman v. Indus. Bd., Violent Crime Comp. Div.,</w:t>
      </w:r>
      <w:r w:rsidRPr="20F2C0F6" w:rsidR="009C2484">
        <w:rPr>
          <w:rFonts w:ascii="Times New Roman" w:hAnsi="Times New Roman" w:cs="Times New Roman"/>
        </w:rPr>
        <w:t xml:space="preserve"> 473 N.E.2d 1021, 1021 (Ind. Ct. App. 1985), </w:t>
      </w:r>
      <w:r w:rsidRPr="20F2C0F6" w:rsidR="009C2484">
        <w:rPr>
          <w:rFonts w:ascii="Times New Roman" w:hAnsi="Times New Roman" w:cs="Times New Roman"/>
          <w:i w:val="1"/>
          <w:iCs w:val="1"/>
        </w:rPr>
        <w:t>trans</w:t>
      </w:r>
      <w:r w:rsidRPr="20F2C0F6" w:rsidR="007469CC">
        <w:rPr>
          <w:rFonts w:ascii="Times New Roman" w:hAnsi="Times New Roman" w:cs="Times New Roman"/>
          <w:i w:val="1"/>
          <w:iCs w:val="1"/>
        </w:rPr>
        <w:t>. denied</w:t>
      </w:r>
      <w:r w:rsidRPr="20F2C0F6" w:rsidR="007469CC">
        <w:rPr>
          <w:rFonts w:ascii="Times New Roman" w:hAnsi="Times New Roman" w:cs="Times New Roman"/>
        </w:rPr>
        <w:t xml:space="preserve">.  Therefore, </w:t>
      </w:r>
      <w:r w:rsidRPr="20F2C0F6" w:rsidR="7BF36477">
        <w:rPr>
          <w:rFonts w:ascii="Times New Roman" w:hAnsi="Times New Roman" w:cs="Times New Roman"/>
        </w:rPr>
        <w:t>[Name]</w:t>
      </w:r>
      <w:r w:rsidRPr="20F2C0F6" w:rsidR="007469CC">
        <w:rPr>
          <w:rFonts w:ascii="Times New Roman" w:hAnsi="Times New Roman" w:cs="Times New Roman"/>
        </w:rPr>
        <w:t xml:space="preserve"> must be allowed to take a deposition authorized by the Indiana Supreme Court’s procedural rules.</w:t>
      </w:r>
      <w:r w:rsidRPr="20F2C0F6" w:rsidR="002E6E76">
        <w:rPr>
          <w:rFonts w:ascii="Times New Roman" w:hAnsi="Times New Roman" w:cs="Times New Roman"/>
        </w:rPr>
        <w:t xml:space="preserve">  </w:t>
      </w:r>
    </w:p>
    <w:p w:rsidRPr="002F5433" w:rsidR="001C78A2" w:rsidP="00C80EF3" w:rsidRDefault="000A7367" w14:paraId="41E549BC" w14:textId="7CBBDEDF">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Court should not hesitate to declare that it is not bound by Indiana Code, Section 35-40-5-11.5.   </w:t>
      </w:r>
      <w:r w:rsidRPr="002F5433" w:rsidR="002E6E76">
        <w:rPr>
          <w:rFonts w:ascii="Times New Roman" w:hAnsi="Times New Roman" w:cs="Times New Roman"/>
        </w:rPr>
        <w:t xml:space="preserve">In </w:t>
      </w:r>
      <w:r w:rsidR="00A85985">
        <w:rPr>
          <w:rFonts w:ascii="Times New Roman" w:hAnsi="Times New Roman" w:cs="Times New Roman"/>
        </w:rPr>
        <w:t>passing such a law</w:t>
      </w:r>
      <w:r w:rsidRPr="002F5433" w:rsidR="002E6E76">
        <w:rPr>
          <w:rFonts w:ascii="Times New Roman" w:hAnsi="Times New Roman" w:cs="Times New Roman"/>
        </w:rPr>
        <w:t>, the Indiana General Assembly has unconstitutionally invaded the province of the Indiana Judiciary.</w:t>
      </w:r>
      <w:r w:rsidRPr="002F5433" w:rsidR="0058758C">
        <w:rPr>
          <w:rFonts w:ascii="Times New Roman" w:hAnsi="Times New Roman" w:cs="Times New Roman"/>
        </w:rPr>
        <w:t xml:space="preserve">  Article III, Section 1 of the Indiana Constitution clearly and unambiguously sets forth the distribution of powers amongst the branches of our State government:</w:t>
      </w:r>
    </w:p>
    <w:p w:rsidR="00910EB7" w:rsidP="002A0B08" w:rsidRDefault="00910EB7" w14:paraId="36A3F84D" w14:textId="77777777">
      <w:pPr>
        <w:jc w:val="both"/>
        <w:rPr>
          <w:rFonts w:ascii="Times New Roman" w:hAnsi="Times New Roman" w:cs="Times New Roman"/>
        </w:rPr>
        <w:sectPr w:rsidR="00910EB7" w:rsidSect="00A50BEB">
          <w:type w:val="evenPage"/>
          <w:pgSz w:w="12240" w:h="15840" w:orient="portrait"/>
          <w:pgMar w:top="1440" w:right="1440" w:bottom="1440" w:left="1440" w:header="720" w:footer="720" w:gutter="0"/>
          <w:cols w:space="720"/>
          <w:docGrid w:linePitch="360"/>
        </w:sectPr>
      </w:pPr>
    </w:p>
    <w:p w:rsidR="00910EB7" w:rsidP="002A0B08" w:rsidRDefault="0058758C" w14:paraId="1E294240" w14:textId="296C3117">
      <w:pPr>
        <w:jc w:val="both"/>
        <w:rPr>
          <w:rFonts w:ascii="Times New Roman" w:hAnsi="Times New Roman" w:cs="Times New Roman"/>
        </w:rPr>
      </w:pPr>
      <w:r w:rsidRPr="002F5433">
        <w:rPr>
          <w:rFonts w:ascii="Times New Roman" w:hAnsi="Times New Roman" w:cs="Times New Roman"/>
        </w:rPr>
        <w:t>The powers of the Government are divided into three separate departments; the Legislative, the Executive including the Administrative, and the Judicial: and no person</w:t>
      </w:r>
      <w:r w:rsidRPr="002F5433" w:rsidR="00EF0DE3">
        <w:rPr>
          <w:rFonts w:ascii="Times New Roman" w:hAnsi="Times New Roman" w:cs="Times New Roman"/>
        </w:rPr>
        <w:t>, c</w:t>
      </w:r>
      <w:r w:rsidRPr="002F5433">
        <w:rPr>
          <w:rFonts w:ascii="Times New Roman" w:hAnsi="Times New Roman" w:cs="Times New Roman"/>
        </w:rPr>
        <w:t>harged with official duties under one of these departments, shall exercise any of the functions of another, except as in this Constitution expressly provided</w:t>
      </w:r>
      <w:r w:rsidR="002A0B08">
        <w:rPr>
          <w:rFonts w:ascii="Times New Roman" w:hAnsi="Times New Roman" w:cs="Times New Roman"/>
        </w:rPr>
        <w:t>.</w:t>
      </w:r>
    </w:p>
    <w:p w:rsidR="00910EB7" w:rsidP="002A0B08" w:rsidRDefault="00910EB7" w14:paraId="0ED4A922" w14:textId="77777777">
      <w:pPr>
        <w:jc w:val="both"/>
        <w:rPr>
          <w:rFonts w:ascii="Times New Roman" w:hAnsi="Times New Roman" w:cs="Times New Roman"/>
        </w:rPr>
        <w:sectPr w:rsidR="00910EB7" w:rsidSect="00910EB7">
          <w:type w:val="continuous"/>
          <w:pgSz w:w="12240" w:h="15840" w:orient="portrait"/>
          <w:pgMar w:top="1440" w:right="2880" w:bottom="1440" w:left="2880" w:header="720" w:footer="720" w:gutter="0"/>
          <w:cols w:space="720"/>
          <w:docGrid w:linePitch="360"/>
        </w:sectPr>
      </w:pPr>
    </w:p>
    <w:p w:rsidR="00910EB7" w:rsidP="002A0B08" w:rsidRDefault="00910EB7" w14:paraId="25A10B1F" w14:textId="4B797D9C">
      <w:pPr>
        <w:jc w:val="both"/>
        <w:rPr>
          <w:rFonts w:ascii="Times New Roman" w:hAnsi="Times New Roman" w:cs="Times New Roman"/>
        </w:rPr>
      </w:pPr>
    </w:p>
    <w:p w:rsidRPr="002F5433" w:rsidR="00D46563" w:rsidP="004D7FE1" w:rsidRDefault="0058758C" w14:paraId="3CFE78F0" w14:textId="2FDF53DD">
      <w:pPr>
        <w:spacing w:line="480" w:lineRule="auto"/>
        <w:jc w:val="both"/>
        <w:rPr>
          <w:rFonts w:ascii="Times New Roman" w:hAnsi="Times New Roman" w:cs="Times New Roman"/>
        </w:rPr>
      </w:pPr>
      <w:r w:rsidRPr="002F5433">
        <w:rPr>
          <w:rFonts w:ascii="Times New Roman" w:hAnsi="Times New Roman" w:cs="Times New Roman"/>
        </w:rPr>
        <w:t>Within this structure, the Indiana Constitution</w:t>
      </w:r>
      <w:r w:rsidRPr="002F5433" w:rsidR="00553BC4">
        <w:rPr>
          <w:rFonts w:ascii="Times New Roman" w:hAnsi="Times New Roman" w:cs="Times New Roman"/>
        </w:rPr>
        <w:t xml:space="preserve"> delineated the exclusive powers to each branch.  Article VII, Section 1 of the Indiana Constitution provides that the</w:t>
      </w:r>
      <w:r w:rsidRPr="002F5433" w:rsidR="0068127E">
        <w:rPr>
          <w:rFonts w:ascii="Times New Roman" w:hAnsi="Times New Roman" w:cs="Times New Roman"/>
        </w:rPr>
        <w:t xml:space="preserve"> Judiciary</w:t>
      </w:r>
      <w:r w:rsidR="0068376E">
        <w:rPr>
          <w:rFonts w:ascii="Times New Roman" w:hAnsi="Times New Roman" w:cs="Times New Roman"/>
        </w:rPr>
        <w:t xml:space="preserve"> branch</w:t>
      </w:r>
      <w:r w:rsidRPr="002F5433" w:rsidR="00553BC4">
        <w:rPr>
          <w:rFonts w:ascii="Times New Roman" w:hAnsi="Times New Roman" w:cs="Times New Roman"/>
        </w:rPr>
        <w:t xml:space="preserve"> ha</w:t>
      </w:r>
      <w:r w:rsidRPr="002F5433" w:rsidR="0068127E">
        <w:rPr>
          <w:rFonts w:ascii="Times New Roman" w:hAnsi="Times New Roman" w:cs="Times New Roman"/>
        </w:rPr>
        <w:t>s</w:t>
      </w:r>
      <w:r w:rsidRPr="002F5433" w:rsidR="00553BC4">
        <w:rPr>
          <w:rFonts w:ascii="Times New Roman" w:hAnsi="Times New Roman" w:cs="Times New Roman"/>
        </w:rPr>
        <w:t xml:space="preserve"> the judicial powers, while Article IV, Section</w:t>
      </w:r>
      <w:r w:rsidR="00082FA3">
        <w:rPr>
          <w:rFonts w:ascii="Times New Roman" w:hAnsi="Times New Roman" w:cs="Times New Roman"/>
        </w:rPr>
        <w:t xml:space="preserve"> 1</w:t>
      </w:r>
      <w:r w:rsidRPr="002F5433" w:rsidR="00553BC4">
        <w:rPr>
          <w:rFonts w:ascii="Times New Roman" w:hAnsi="Times New Roman" w:cs="Times New Roman"/>
        </w:rPr>
        <w:t xml:space="preserve"> gives the General Assembly the Legislative authority.  </w:t>
      </w:r>
      <w:r w:rsidRPr="002F5433">
        <w:rPr>
          <w:rFonts w:ascii="Times New Roman" w:hAnsi="Times New Roman" w:cs="Times New Roman"/>
        </w:rPr>
        <w:t xml:space="preserve"> </w:t>
      </w:r>
      <w:r w:rsidRPr="002F5433" w:rsidR="0068127E">
        <w:rPr>
          <w:rFonts w:ascii="Times New Roman" w:hAnsi="Times New Roman" w:cs="Times New Roman"/>
        </w:rPr>
        <w:t>In fact, t</w:t>
      </w:r>
      <w:r w:rsidRPr="002F5433" w:rsidR="00D46563">
        <w:rPr>
          <w:rFonts w:ascii="Times New Roman" w:hAnsi="Times New Roman" w:cs="Times New Roman"/>
        </w:rPr>
        <w:t xml:space="preserve">he </w:t>
      </w:r>
      <w:r w:rsidR="00020E92">
        <w:rPr>
          <w:rFonts w:ascii="Times New Roman" w:hAnsi="Times New Roman" w:cs="Times New Roman"/>
        </w:rPr>
        <w:t>General Assembly</w:t>
      </w:r>
      <w:r w:rsidRPr="002F5433" w:rsidR="00D46563">
        <w:rPr>
          <w:rFonts w:ascii="Times New Roman" w:hAnsi="Times New Roman" w:cs="Times New Roman"/>
        </w:rPr>
        <w:t xml:space="preserve"> </w:t>
      </w:r>
      <w:r w:rsidRPr="002F5433" w:rsidR="00D23394">
        <w:rPr>
          <w:rFonts w:ascii="Times New Roman" w:hAnsi="Times New Roman" w:cs="Times New Roman"/>
        </w:rPr>
        <w:t xml:space="preserve">has </w:t>
      </w:r>
      <w:r w:rsidRPr="002F5433" w:rsidR="00DA4E51">
        <w:rPr>
          <w:rFonts w:ascii="Times New Roman" w:hAnsi="Times New Roman" w:cs="Times New Roman"/>
        </w:rPr>
        <w:t xml:space="preserve">acknowledged that rules of practice and procedure fall within the </w:t>
      </w:r>
      <w:r w:rsidRPr="002F5433" w:rsidR="001352C9">
        <w:rPr>
          <w:rFonts w:ascii="Times New Roman" w:hAnsi="Times New Roman" w:cs="Times New Roman"/>
        </w:rPr>
        <w:t>powers granted solely to the judiciary</w:t>
      </w:r>
      <w:r w:rsidRPr="002F5433" w:rsidR="00A36C1F">
        <w:rPr>
          <w:rFonts w:ascii="Times New Roman" w:hAnsi="Times New Roman" w:cs="Times New Roman"/>
        </w:rPr>
        <w:t xml:space="preserve"> and its judicial authority:</w:t>
      </w:r>
    </w:p>
    <w:p w:rsidR="006502AB" w:rsidP="0030472F" w:rsidRDefault="006502AB" w14:paraId="7A911341" w14:textId="77777777">
      <w:pPr>
        <w:jc w:val="both"/>
        <w:rPr>
          <w:rFonts w:ascii="Times New Roman" w:hAnsi="Times New Roman" w:cs="Times New Roman"/>
        </w:rPr>
        <w:sectPr w:rsidR="006502AB" w:rsidSect="00910EB7">
          <w:type w:val="continuous"/>
          <w:pgSz w:w="12240" w:h="15840" w:orient="portrait"/>
          <w:pgMar w:top="1440" w:right="1440" w:bottom="1440" w:left="1440" w:header="720" w:footer="720" w:gutter="0"/>
          <w:cols w:space="720"/>
          <w:docGrid w:linePitch="360"/>
        </w:sectPr>
      </w:pPr>
    </w:p>
    <w:p w:rsidR="006502AB" w:rsidP="0030472F" w:rsidRDefault="00104348" w14:paraId="14E4D802" w14:textId="05CBE807">
      <w:pPr>
        <w:jc w:val="both"/>
        <w:rPr>
          <w:rFonts w:ascii="Times New Roman" w:hAnsi="Times New Roman" w:cs="Times New Roman"/>
        </w:rPr>
      </w:pPr>
      <w:r w:rsidRPr="002F5433">
        <w:rPr>
          <w:rFonts w:ascii="Times New Roman" w:hAnsi="Times New Roman" w:cs="Times New Roman"/>
        </w:rPr>
        <w:t xml:space="preserve">The </w:t>
      </w:r>
      <w:r w:rsidRPr="002F5433" w:rsidR="000B600B">
        <w:rPr>
          <w:rFonts w:ascii="Times New Roman" w:hAnsi="Times New Roman" w:cs="Times New Roman"/>
        </w:rPr>
        <w:t>Supreme Court has authority to adopt, amend, and rescind rules of court that govern and control practice and procedure in all the courts of Indiana.  These rules must be promul</w:t>
      </w:r>
      <w:r w:rsidRPr="002F5433" w:rsidR="008608CC">
        <w:rPr>
          <w:rFonts w:ascii="Times New Roman" w:hAnsi="Times New Roman" w:cs="Times New Roman"/>
        </w:rPr>
        <w:t>gated and take effect under the rules adopted by the Supreme Court, and thereafter all laws in conflict with the Supreme Court’s rules have no further force or effect.</w:t>
      </w:r>
    </w:p>
    <w:p w:rsidR="006502AB" w:rsidP="0015441F" w:rsidRDefault="006502AB" w14:paraId="569C9566" w14:textId="77777777">
      <w:pPr>
        <w:spacing w:line="480" w:lineRule="auto"/>
        <w:rPr>
          <w:rFonts w:ascii="Times New Roman" w:hAnsi="Times New Roman" w:cs="Times New Roman"/>
        </w:rPr>
        <w:sectPr w:rsidR="006502AB" w:rsidSect="006502AB">
          <w:type w:val="continuous"/>
          <w:pgSz w:w="12240" w:h="15840" w:orient="portrait"/>
          <w:pgMar w:top="1440" w:right="2880" w:bottom="1440" w:left="2880" w:header="720" w:footer="720" w:gutter="0"/>
          <w:cols w:space="720"/>
          <w:docGrid w:linePitch="360"/>
        </w:sectPr>
      </w:pPr>
    </w:p>
    <w:p w:rsidR="006502AB" w:rsidP="006502AB" w:rsidRDefault="006502AB" w14:paraId="3F4277E7" w14:textId="77777777">
      <w:pPr>
        <w:rPr>
          <w:rFonts w:ascii="Times New Roman" w:hAnsi="Times New Roman" w:cs="Times New Roman"/>
        </w:rPr>
      </w:pPr>
    </w:p>
    <w:p w:rsidR="00781C3F" w:rsidP="004D7FE1" w:rsidRDefault="00614F71" w14:paraId="4B6986A2" w14:textId="7BD54199">
      <w:pPr>
        <w:spacing w:line="480" w:lineRule="auto"/>
        <w:jc w:val="both"/>
        <w:rPr>
          <w:rFonts w:ascii="Times New Roman" w:hAnsi="Times New Roman" w:cs="Times New Roman"/>
        </w:rPr>
      </w:pPr>
      <w:r w:rsidRPr="002F5433">
        <w:rPr>
          <w:rFonts w:ascii="Times New Roman" w:hAnsi="Times New Roman" w:cs="Times New Roman"/>
          <w:i/>
          <w:iCs/>
        </w:rPr>
        <w:t>Ind. Code</w:t>
      </w:r>
      <w:r w:rsidRPr="002F5433" w:rsidR="009B4A8D">
        <w:rPr>
          <w:rFonts w:ascii="Times New Roman" w:hAnsi="Times New Roman" w:cs="Times New Roman"/>
          <w:i/>
          <w:iCs/>
        </w:rPr>
        <w:t xml:space="preserve"> § 34-8-1-3.</w:t>
      </w:r>
      <w:r w:rsidR="0029691B">
        <w:rPr>
          <w:rFonts w:ascii="Times New Roman" w:hAnsi="Times New Roman" w:cs="Times New Roman"/>
        </w:rPr>
        <w:t xml:space="preserve">  </w:t>
      </w:r>
      <w:r w:rsidR="00781C3F">
        <w:rPr>
          <w:rFonts w:ascii="Times New Roman" w:hAnsi="Times New Roman" w:cs="Times New Roman"/>
        </w:rPr>
        <w:tab/>
      </w:r>
      <w:r w:rsidR="00781C3F">
        <w:rPr>
          <w:rFonts w:ascii="Times New Roman" w:hAnsi="Times New Roman" w:cs="Times New Roman"/>
        </w:rPr>
        <w:t>In reviewing</w:t>
      </w:r>
      <w:r w:rsidR="0038768D">
        <w:rPr>
          <w:rFonts w:ascii="Times New Roman" w:hAnsi="Times New Roman" w:cs="Times New Roman"/>
        </w:rPr>
        <w:t xml:space="preserve"> and interpreting</w:t>
      </w:r>
      <w:r w:rsidR="00781C3F">
        <w:rPr>
          <w:rFonts w:ascii="Times New Roman" w:hAnsi="Times New Roman" w:cs="Times New Roman"/>
        </w:rPr>
        <w:t xml:space="preserve"> </w:t>
      </w:r>
      <w:r w:rsidR="005C5F83">
        <w:rPr>
          <w:rFonts w:ascii="Times New Roman" w:hAnsi="Times New Roman" w:cs="Times New Roman"/>
        </w:rPr>
        <w:t xml:space="preserve">IC § 34-8-1-3 and its preceding versions, </w:t>
      </w:r>
      <w:r w:rsidR="0038768D">
        <w:rPr>
          <w:rFonts w:ascii="Times New Roman" w:hAnsi="Times New Roman" w:cs="Times New Roman"/>
        </w:rPr>
        <w:t xml:space="preserve">the Indiana Supreme Court </w:t>
      </w:r>
      <w:r w:rsidR="0087189B">
        <w:rPr>
          <w:rFonts w:ascii="Times New Roman" w:hAnsi="Times New Roman" w:cs="Times New Roman"/>
        </w:rPr>
        <w:t>found that this statute was adopted “[i]n order to remove any conflict which would inevitably result from both the Legislature and the Supreme Court</w:t>
      </w:r>
      <w:r w:rsidR="00BE4DDC">
        <w:rPr>
          <w:rFonts w:ascii="Times New Roman" w:hAnsi="Times New Roman" w:cs="Times New Roman"/>
        </w:rPr>
        <w:t xml:space="preserve"> promulgating rules of procedure, and to fix responsibility therefor exclusively in the Supreme Court</w:t>
      </w:r>
      <w:r w:rsidR="00CB2CA5">
        <w:rPr>
          <w:rFonts w:ascii="Times New Roman" w:hAnsi="Times New Roman" w:cs="Times New Roman"/>
        </w:rPr>
        <w:t xml:space="preserve">…”  </w:t>
      </w:r>
      <w:r w:rsidR="00CB2CA5">
        <w:rPr>
          <w:rFonts w:ascii="Times New Roman" w:hAnsi="Times New Roman" w:cs="Times New Roman"/>
          <w:i/>
          <w:iCs/>
        </w:rPr>
        <w:t>State ex rel. Blood v. Gibson Circuit Court</w:t>
      </w:r>
      <w:r w:rsidR="00CB2CA5">
        <w:rPr>
          <w:rFonts w:ascii="Times New Roman" w:hAnsi="Times New Roman" w:cs="Times New Roman"/>
        </w:rPr>
        <w:t>, 157 N.E.2d 475</w:t>
      </w:r>
      <w:r w:rsidR="00D676D0">
        <w:rPr>
          <w:rFonts w:ascii="Times New Roman" w:hAnsi="Times New Roman" w:cs="Times New Roman"/>
        </w:rPr>
        <w:t xml:space="preserve">, 478 (Ind. </w:t>
      </w:r>
      <w:r w:rsidR="000953FF">
        <w:rPr>
          <w:rFonts w:ascii="Times New Roman" w:hAnsi="Times New Roman" w:cs="Times New Roman"/>
        </w:rPr>
        <w:t>1959).</w:t>
      </w:r>
      <w:r w:rsidR="00C64CCB">
        <w:rPr>
          <w:rFonts w:ascii="Times New Roman" w:hAnsi="Times New Roman" w:cs="Times New Roman"/>
        </w:rPr>
        <w:t xml:space="preserve">  The Court </w:t>
      </w:r>
      <w:r w:rsidR="00296FFF">
        <w:rPr>
          <w:rFonts w:ascii="Times New Roman" w:hAnsi="Times New Roman" w:cs="Times New Roman"/>
        </w:rPr>
        <w:t>expounded by noting</w:t>
      </w:r>
      <w:r w:rsidR="00C52128">
        <w:rPr>
          <w:rFonts w:ascii="Times New Roman" w:hAnsi="Times New Roman" w:cs="Times New Roman"/>
        </w:rPr>
        <w:t xml:space="preserve"> that </w:t>
      </w:r>
      <w:r w:rsidR="00CD2263">
        <w:rPr>
          <w:rFonts w:ascii="Times New Roman" w:hAnsi="Times New Roman" w:cs="Times New Roman"/>
        </w:rPr>
        <w:t>b</w:t>
      </w:r>
      <w:r w:rsidR="00C52128">
        <w:rPr>
          <w:rFonts w:ascii="Times New Roman" w:hAnsi="Times New Roman" w:cs="Times New Roman"/>
        </w:rPr>
        <w:t>y the enactment of this statute, the Legislature surrendered and abandoned any rights it may have had under Article VII, Section 4 of the</w:t>
      </w:r>
      <w:r w:rsidR="00CD2263">
        <w:rPr>
          <w:rFonts w:ascii="Times New Roman" w:hAnsi="Times New Roman" w:cs="Times New Roman"/>
        </w:rPr>
        <w:t xml:space="preserve"> Indiana</w:t>
      </w:r>
      <w:r w:rsidR="00C52128">
        <w:rPr>
          <w:rFonts w:ascii="Times New Roman" w:hAnsi="Times New Roman" w:cs="Times New Roman"/>
        </w:rPr>
        <w:t xml:space="preserve"> </w:t>
      </w:r>
      <w:r w:rsidR="00CD2263">
        <w:rPr>
          <w:rFonts w:ascii="Times New Roman" w:hAnsi="Times New Roman" w:cs="Times New Roman"/>
        </w:rPr>
        <w:t>Constitution to impose</w:t>
      </w:r>
      <w:r w:rsidR="009D3B48">
        <w:rPr>
          <w:rFonts w:ascii="Times New Roman" w:hAnsi="Times New Roman" w:cs="Times New Roman"/>
        </w:rPr>
        <w:t xml:space="preserve"> “regulations and restrictions” upon the jurisdiction of the Indiana Suprem</w:t>
      </w:r>
      <w:r w:rsidR="00EB18CA">
        <w:rPr>
          <w:rFonts w:ascii="Times New Roman" w:hAnsi="Times New Roman" w:cs="Times New Roman"/>
        </w:rPr>
        <w:t xml:space="preserve">e Court with respect to “rules of court which shall govern and control practice and procedure in all the courts of this state.”  </w:t>
      </w:r>
      <w:r w:rsidR="00EB18CA">
        <w:rPr>
          <w:rFonts w:ascii="Times New Roman" w:hAnsi="Times New Roman" w:cs="Times New Roman"/>
          <w:i/>
          <w:iCs/>
        </w:rPr>
        <w:t>State ex rel. Blood</w:t>
      </w:r>
      <w:r w:rsidR="00EB18CA">
        <w:rPr>
          <w:rFonts w:ascii="Times New Roman" w:hAnsi="Times New Roman" w:cs="Times New Roman"/>
        </w:rPr>
        <w:t xml:space="preserve">, 157 N.E.2d at </w:t>
      </w:r>
      <w:r w:rsidR="00B2320E">
        <w:rPr>
          <w:rFonts w:ascii="Times New Roman" w:hAnsi="Times New Roman" w:cs="Times New Roman"/>
        </w:rPr>
        <w:t>478.</w:t>
      </w:r>
    </w:p>
    <w:p w:rsidR="006C5DE6" w:rsidP="00EA00CB" w:rsidRDefault="006C5DE6" w14:paraId="26A73E09" w14:textId="1E2A2A7F">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In application of this doctrine, the Indiana Supreme Court has unequivocally </w:t>
      </w:r>
      <w:r w:rsidR="00986357">
        <w:rPr>
          <w:rFonts w:ascii="Times New Roman" w:hAnsi="Times New Roman" w:cs="Times New Roman"/>
        </w:rPr>
        <w:t>protected its exclusive dom</w:t>
      </w:r>
      <w:r w:rsidR="006B2FE5">
        <w:rPr>
          <w:rFonts w:ascii="Times New Roman" w:hAnsi="Times New Roman" w:cs="Times New Roman"/>
        </w:rPr>
        <w:t>ai</w:t>
      </w:r>
      <w:r w:rsidR="00986357">
        <w:rPr>
          <w:rFonts w:ascii="Times New Roman" w:hAnsi="Times New Roman" w:cs="Times New Roman"/>
        </w:rPr>
        <w:t xml:space="preserve">n </w:t>
      </w:r>
      <w:r w:rsidR="00AF7E84">
        <w:rPr>
          <w:rFonts w:ascii="Times New Roman" w:hAnsi="Times New Roman" w:cs="Times New Roman"/>
        </w:rPr>
        <w:t xml:space="preserve">at it relates to </w:t>
      </w:r>
      <w:r w:rsidR="00C27EBD">
        <w:rPr>
          <w:rFonts w:ascii="Times New Roman" w:hAnsi="Times New Roman" w:cs="Times New Roman"/>
        </w:rPr>
        <w:t xml:space="preserve">practice and procedural matters.  </w:t>
      </w:r>
      <w:r w:rsidR="007B1048">
        <w:rPr>
          <w:rFonts w:ascii="Times New Roman" w:hAnsi="Times New Roman" w:cs="Times New Roman"/>
        </w:rPr>
        <w:t>Speaking to this issue, the Indiana Cou</w:t>
      </w:r>
      <w:r w:rsidR="000B462B">
        <w:rPr>
          <w:rFonts w:ascii="Times New Roman" w:hAnsi="Times New Roman" w:cs="Times New Roman"/>
        </w:rPr>
        <w:t>rt of Appeals</w:t>
      </w:r>
      <w:r w:rsidR="007B1048">
        <w:rPr>
          <w:rFonts w:ascii="Times New Roman" w:hAnsi="Times New Roman" w:cs="Times New Roman"/>
        </w:rPr>
        <w:t xml:space="preserve"> </w:t>
      </w:r>
      <w:r w:rsidR="007B1048">
        <w:rPr>
          <w:rFonts w:ascii="Times New Roman" w:hAnsi="Times New Roman" w:cs="Times New Roman"/>
        </w:rPr>
        <w:lastRenderedPageBreak/>
        <w:t xml:space="preserve">found </w:t>
      </w:r>
      <w:r w:rsidR="0063041E">
        <w:rPr>
          <w:rFonts w:ascii="Times New Roman" w:hAnsi="Times New Roman" w:cs="Times New Roman"/>
        </w:rPr>
        <w:t>that “in practice and procedural matters in the courts of this State the rules adopted by our Supreme Court are pre</w:t>
      </w:r>
      <w:r w:rsidR="00187E24">
        <w:rPr>
          <w:rFonts w:ascii="Times New Roman" w:hAnsi="Times New Roman" w:cs="Times New Roman"/>
        </w:rPr>
        <w:t>eminent and supersede any statutory provisions relating to such practice and procedure and that such rules are of such vitality as to abrogate and render ineffective ‘all laws in conflict therewith.’”</w:t>
      </w:r>
      <w:r w:rsidR="00815164">
        <w:rPr>
          <w:rFonts w:ascii="Times New Roman" w:hAnsi="Times New Roman" w:cs="Times New Roman"/>
        </w:rPr>
        <w:t xml:space="preserve">  </w:t>
      </w:r>
      <w:r w:rsidR="00815164">
        <w:rPr>
          <w:rFonts w:ascii="Times New Roman" w:hAnsi="Times New Roman" w:cs="Times New Roman"/>
          <w:i/>
          <w:iCs/>
        </w:rPr>
        <w:t xml:space="preserve">O’Brien v. </w:t>
      </w:r>
      <w:proofErr w:type="spellStart"/>
      <w:r w:rsidR="00815164">
        <w:rPr>
          <w:rFonts w:ascii="Times New Roman" w:hAnsi="Times New Roman" w:cs="Times New Roman"/>
          <w:i/>
          <w:iCs/>
        </w:rPr>
        <w:t>Fulwider</w:t>
      </w:r>
      <w:proofErr w:type="spellEnd"/>
      <w:r w:rsidR="00815164">
        <w:rPr>
          <w:rFonts w:ascii="Times New Roman" w:hAnsi="Times New Roman" w:cs="Times New Roman"/>
        </w:rPr>
        <w:t>, 166 N.E.2d 525</w:t>
      </w:r>
      <w:r w:rsidR="00A80CA5">
        <w:rPr>
          <w:rFonts w:ascii="Times New Roman" w:hAnsi="Times New Roman" w:cs="Times New Roman"/>
        </w:rPr>
        <w:t>, 527 (Ind.</w:t>
      </w:r>
      <w:r w:rsidR="00F65333">
        <w:rPr>
          <w:rFonts w:ascii="Times New Roman" w:hAnsi="Times New Roman" w:cs="Times New Roman"/>
        </w:rPr>
        <w:t xml:space="preserve"> Ct. App. 1960).</w:t>
      </w:r>
      <w:r w:rsidR="00F174C6">
        <w:rPr>
          <w:rFonts w:ascii="Times New Roman" w:hAnsi="Times New Roman" w:cs="Times New Roman"/>
        </w:rPr>
        <w:t xml:space="preserve">  The same </w:t>
      </w:r>
      <w:r w:rsidR="006B2FE5">
        <w:rPr>
          <w:rFonts w:ascii="Times New Roman" w:hAnsi="Times New Roman" w:cs="Times New Roman"/>
        </w:rPr>
        <w:t>principle was affirmed by the Indiana Supreme Court in</w:t>
      </w:r>
      <w:r w:rsidR="006C604B">
        <w:rPr>
          <w:rFonts w:ascii="Times New Roman" w:hAnsi="Times New Roman" w:cs="Times New Roman"/>
        </w:rPr>
        <w:t xml:space="preserve"> 1978.  In</w:t>
      </w:r>
      <w:r w:rsidR="006B2FE5">
        <w:rPr>
          <w:rFonts w:ascii="Times New Roman" w:hAnsi="Times New Roman" w:cs="Times New Roman"/>
        </w:rPr>
        <w:t xml:space="preserve"> the matter of </w:t>
      </w:r>
      <w:r w:rsidR="006C604B">
        <w:rPr>
          <w:rFonts w:ascii="Times New Roman" w:hAnsi="Times New Roman" w:cs="Times New Roman"/>
          <w:i/>
          <w:iCs/>
        </w:rPr>
        <w:t>State ex rel. Western Parks v. Bartholomew County Court</w:t>
      </w:r>
      <w:r w:rsidR="006C604B">
        <w:rPr>
          <w:rFonts w:ascii="Times New Roman" w:hAnsi="Times New Roman" w:cs="Times New Roman"/>
        </w:rPr>
        <w:t xml:space="preserve">, the Court </w:t>
      </w:r>
      <w:r w:rsidR="00600517">
        <w:rPr>
          <w:rFonts w:ascii="Times New Roman" w:hAnsi="Times New Roman" w:cs="Times New Roman"/>
        </w:rPr>
        <w:t>struck down statut</w:t>
      </w:r>
      <w:r w:rsidR="009C0C57">
        <w:rPr>
          <w:rFonts w:ascii="Times New Roman" w:hAnsi="Times New Roman" w:cs="Times New Roman"/>
        </w:rPr>
        <w:t>ory provi</w:t>
      </w:r>
      <w:r w:rsidR="002E2C3D">
        <w:rPr>
          <w:rFonts w:ascii="Times New Roman" w:hAnsi="Times New Roman" w:cs="Times New Roman"/>
        </w:rPr>
        <w:t>s</w:t>
      </w:r>
      <w:r w:rsidR="009C0C57">
        <w:rPr>
          <w:rFonts w:ascii="Times New Roman" w:hAnsi="Times New Roman" w:cs="Times New Roman"/>
        </w:rPr>
        <w:t>i</w:t>
      </w:r>
      <w:r w:rsidR="002E2C3D">
        <w:rPr>
          <w:rFonts w:ascii="Times New Roman" w:hAnsi="Times New Roman" w:cs="Times New Roman"/>
        </w:rPr>
        <w:t>o</w:t>
      </w:r>
      <w:r w:rsidR="009C0C57">
        <w:rPr>
          <w:rFonts w:ascii="Times New Roman" w:hAnsi="Times New Roman" w:cs="Times New Roman"/>
        </w:rPr>
        <w:t>ns</w:t>
      </w:r>
      <w:r w:rsidR="00600517">
        <w:rPr>
          <w:rFonts w:ascii="Times New Roman" w:hAnsi="Times New Roman" w:cs="Times New Roman"/>
        </w:rPr>
        <w:t xml:space="preserve"> that conflicted with </w:t>
      </w:r>
      <w:r w:rsidR="00C05D3D">
        <w:rPr>
          <w:rFonts w:ascii="Times New Roman" w:hAnsi="Times New Roman" w:cs="Times New Roman"/>
        </w:rPr>
        <w:t xml:space="preserve">its rules.  In doing so, the Court found that </w:t>
      </w:r>
      <w:r w:rsidR="00735356">
        <w:rPr>
          <w:rFonts w:ascii="Times New Roman" w:hAnsi="Times New Roman" w:cs="Times New Roman"/>
        </w:rPr>
        <w:t>“[t]o the extent that any legislative enactment conflicts with these rules, the rules must take precedence and the conflicting phrases within that statute must be deemed without force or effect.</w:t>
      </w:r>
      <w:r w:rsidR="006B2707">
        <w:rPr>
          <w:rFonts w:ascii="Times New Roman" w:hAnsi="Times New Roman" w:cs="Times New Roman"/>
        </w:rPr>
        <w:t xml:space="preserve">”  </w:t>
      </w:r>
      <w:r w:rsidR="006B2707">
        <w:rPr>
          <w:rFonts w:ascii="Times New Roman" w:hAnsi="Times New Roman" w:cs="Times New Roman"/>
          <w:i/>
          <w:iCs/>
        </w:rPr>
        <w:t>State ex rel. Western Parks v. Bartholomew County Court</w:t>
      </w:r>
      <w:r w:rsidR="006B2707">
        <w:rPr>
          <w:rFonts w:ascii="Times New Roman" w:hAnsi="Times New Roman" w:cs="Times New Roman"/>
        </w:rPr>
        <w:t xml:space="preserve">, </w:t>
      </w:r>
      <w:r w:rsidR="00FA572C">
        <w:rPr>
          <w:rFonts w:ascii="Times New Roman" w:hAnsi="Times New Roman" w:cs="Times New Roman"/>
        </w:rPr>
        <w:t>383 N.E.2d 290, 292 (Ind. 1978).</w:t>
      </w:r>
    </w:p>
    <w:p w:rsidR="004543CD" w:rsidP="002F5AF8" w:rsidRDefault="00177CC0" w14:paraId="3493EC04" w14:textId="389E812F">
      <w:pPr>
        <w:spacing w:line="48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By way of </w:t>
      </w:r>
      <w:r w:rsidR="00AD4D09">
        <w:rPr>
          <w:rFonts w:ascii="Times New Roman" w:hAnsi="Times New Roman" w:cs="Times New Roman"/>
        </w:rPr>
        <w:t xml:space="preserve">another </w:t>
      </w:r>
      <w:r>
        <w:rPr>
          <w:rFonts w:ascii="Times New Roman" w:hAnsi="Times New Roman" w:cs="Times New Roman"/>
        </w:rPr>
        <w:t xml:space="preserve">example, these principles were applied by the Indiana Supreme Court </w:t>
      </w:r>
      <w:r w:rsidR="00EF40A1">
        <w:rPr>
          <w:rFonts w:ascii="Times New Roman" w:hAnsi="Times New Roman" w:cs="Times New Roman"/>
        </w:rPr>
        <w:t>when reviewing</w:t>
      </w:r>
      <w:r w:rsidR="00C25E25">
        <w:rPr>
          <w:rFonts w:ascii="Times New Roman" w:hAnsi="Times New Roman" w:cs="Times New Roman"/>
        </w:rPr>
        <w:t xml:space="preserve"> the conflict between</w:t>
      </w:r>
      <w:r w:rsidR="00EF40A1">
        <w:rPr>
          <w:rFonts w:ascii="Times New Roman" w:hAnsi="Times New Roman" w:cs="Times New Roman"/>
        </w:rPr>
        <w:t xml:space="preserve"> a statute and the Indiana Rules of Evidence</w:t>
      </w:r>
      <w:r w:rsidR="007343C7">
        <w:rPr>
          <w:rFonts w:ascii="Times New Roman" w:hAnsi="Times New Roman" w:cs="Times New Roman"/>
        </w:rPr>
        <w:t xml:space="preserve">.  </w:t>
      </w:r>
      <w:r w:rsidR="007343C7">
        <w:rPr>
          <w:rFonts w:ascii="Times New Roman" w:hAnsi="Times New Roman" w:cs="Times New Roman"/>
          <w:i/>
          <w:iCs/>
        </w:rPr>
        <w:t>McEwen v. State</w:t>
      </w:r>
      <w:r w:rsidR="007343C7">
        <w:rPr>
          <w:rFonts w:ascii="Times New Roman" w:hAnsi="Times New Roman" w:cs="Times New Roman"/>
        </w:rPr>
        <w:t xml:space="preserve">, 695 N.E.2d 79 (Ind. </w:t>
      </w:r>
      <w:r w:rsidR="00C25E25">
        <w:rPr>
          <w:rFonts w:ascii="Times New Roman" w:hAnsi="Times New Roman" w:cs="Times New Roman"/>
        </w:rPr>
        <w:t xml:space="preserve">1998).  In </w:t>
      </w:r>
      <w:r w:rsidR="00C25E25">
        <w:rPr>
          <w:rFonts w:ascii="Times New Roman" w:hAnsi="Times New Roman" w:cs="Times New Roman"/>
          <w:i/>
          <w:iCs/>
        </w:rPr>
        <w:t>M</w:t>
      </w:r>
      <w:r w:rsidR="001A1A2F">
        <w:rPr>
          <w:rFonts w:ascii="Times New Roman" w:hAnsi="Times New Roman" w:cs="Times New Roman"/>
          <w:i/>
          <w:iCs/>
        </w:rPr>
        <w:t>cEwen</w:t>
      </w:r>
      <w:r w:rsidR="001A1A2F">
        <w:rPr>
          <w:rFonts w:ascii="Times New Roman" w:hAnsi="Times New Roman" w:cs="Times New Roman"/>
        </w:rPr>
        <w:t xml:space="preserve">, the Indiana Supreme Court was faced with </w:t>
      </w:r>
      <w:r w:rsidR="00497233">
        <w:rPr>
          <w:rFonts w:ascii="Times New Roman" w:hAnsi="Times New Roman" w:cs="Times New Roman"/>
        </w:rPr>
        <w:t xml:space="preserve">a statute that created a different standard for admissibility of evidence than </w:t>
      </w:r>
      <w:r w:rsidR="008678E3">
        <w:rPr>
          <w:rFonts w:ascii="Times New Roman" w:hAnsi="Times New Roman" w:cs="Times New Roman"/>
        </w:rPr>
        <w:t xml:space="preserve">a corresponding </w:t>
      </w:r>
      <w:r w:rsidR="00411213">
        <w:rPr>
          <w:rFonts w:ascii="Times New Roman" w:hAnsi="Times New Roman" w:cs="Times New Roman"/>
        </w:rPr>
        <w:t>r</w:t>
      </w:r>
      <w:r w:rsidR="008678E3">
        <w:rPr>
          <w:rFonts w:ascii="Times New Roman" w:hAnsi="Times New Roman" w:cs="Times New Roman"/>
        </w:rPr>
        <w:t xml:space="preserve">ule under the Indiana Rules of Evidence.  In nullifying the </w:t>
      </w:r>
      <w:r w:rsidR="007228D9">
        <w:rPr>
          <w:rFonts w:ascii="Times New Roman" w:hAnsi="Times New Roman" w:cs="Times New Roman"/>
        </w:rPr>
        <w:t xml:space="preserve">conflicting statute, the </w:t>
      </w:r>
      <w:r w:rsidR="007228D9">
        <w:rPr>
          <w:rFonts w:ascii="Times New Roman" w:hAnsi="Times New Roman" w:cs="Times New Roman"/>
          <w:i/>
          <w:iCs/>
        </w:rPr>
        <w:t>McEwen</w:t>
      </w:r>
      <w:r w:rsidR="007228D9">
        <w:rPr>
          <w:rFonts w:ascii="Times New Roman" w:hAnsi="Times New Roman" w:cs="Times New Roman"/>
        </w:rPr>
        <w:t xml:space="preserve"> Court </w:t>
      </w:r>
      <w:r w:rsidR="002E68AC">
        <w:rPr>
          <w:rFonts w:ascii="Times New Roman" w:hAnsi="Times New Roman" w:cs="Times New Roman"/>
        </w:rPr>
        <w:t xml:space="preserve">held that because the statute’s substantive requirements for admissibility conflicted with </w:t>
      </w:r>
      <w:r w:rsidR="00177DDF">
        <w:rPr>
          <w:rFonts w:ascii="Times New Roman" w:hAnsi="Times New Roman" w:cs="Times New Roman"/>
        </w:rPr>
        <w:t xml:space="preserve">the Indiana Rules of Evidence, “the statute is a nullity on that point.”  </w:t>
      </w:r>
      <w:r w:rsidR="00C944FE">
        <w:rPr>
          <w:rFonts w:ascii="Times New Roman" w:hAnsi="Times New Roman" w:cs="Times New Roman"/>
          <w:i/>
          <w:iCs/>
        </w:rPr>
        <w:t>McEwen</w:t>
      </w:r>
      <w:r w:rsidR="00C944FE">
        <w:rPr>
          <w:rFonts w:ascii="Times New Roman" w:hAnsi="Times New Roman" w:cs="Times New Roman"/>
        </w:rPr>
        <w:t xml:space="preserve">, 695 N.E.2d </w:t>
      </w:r>
      <w:r w:rsidR="004B12C2">
        <w:rPr>
          <w:rFonts w:ascii="Times New Roman" w:hAnsi="Times New Roman" w:cs="Times New Roman"/>
        </w:rPr>
        <w:t xml:space="preserve">at 89, </w:t>
      </w:r>
      <w:r w:rsidRPr="009A3CDE" w:rsidR="009A3CDE">
        <w:rPr>
          <w:rFonts w:ascii="Times New Roman" w:hAnsi="Times New Roman" w:cs="Times New Roman"/>
          <w:u w:val="single"/>
        </w:rPr>
        <w:t>citing</w:t>
      </w:r>
      <w:r w:rsidR="009A3CDE">
        <w:rPr>
          <w:rFonts w:ascii="Times New Roman" w:hAnsi="Times New Roman" w:cs="Times New Roman"/>
        </w:rPr>
        <w:t xml:space="preserve"> </w:t>
      </w:r>
      <w:r w:rsidR="009A3CDE">
        <w:rPr>
          <w:rFonts w:ascii="Times New Roman" w:hAnsi="Times New Roman" w:cs="Times New Roman"/>
          <w:i/>
          <w:iCs/>
        </w:rPr>
        <w:t>Humbert v. Smith</w:t>
      </w:r>
      <w:r w:rsidR="009A3CDE">
        <w:rPr>
          <w:rFonts w:ascii="Times New Roman" w:hAnsi="Times New Roman" w:cs="Times New Roman"/>
        </w:rPr>
        <w:t>, 664 N.E.2d 356, 357 (Ind. 1996).</w:t>
      </w:r>
      <w:r w:rsidR="002823AA">
        <w:rPr>
          <w:rFonts w:ascii="Times New Roman" w:hAnsi="Times New Roman" w:cs="Times New Roman"/>
        </w:rPr>
        <w:t xml:space="preserve">  </w:t>
      </w:r>
      <w:r w:rsidR="00AD4D09">
        <w:rPr>
          <w:rFonts w:ascii="Times New Roman" w:hAnsi="Times New Roman" w:cs="Times New Roman"/>
        </w:rPr>
        <w:t xml:space="preserve">Thus, Indiana law </w:t>
      </w:r>
      <w:r w:rsidR="00BC4491">
        <w:rPr>
          <w:rFonts w:ascii="Times New Roman" w:hAnsi="Times New Roman" w:cs="Times New Roman"/>
        </w:rPr>
        <w:t>clearly and unequivocally establishes that</w:t>
      </w:r>
      <w:r w:rsidR="009836C8">
        <w:rPr>
          <w:rFonts w:ascii="Times New Roman" w:hAnsi="Times New Roman" w:cs="Times New Roman"/>
        </w:rPr>
        <w:t>,</w:t>
      </w:r>
      <w:r w:rsidR="00BC4491">
        <w:rPr>
          <w:rFonts w:ascii="Times New Roman" w:hAnsi="Times New Roman" w:cs="Times New Roman"/>
        </w:rPr>
        <w:t xml:space="preserve"> as the highest part of the </w:t>
      </w:r>
      <w:r w:rsidRPr="00424842" w:rsidR="0029691B">
        <w:rPr>
          <w:rFonts w:ascii="Times New Roman" w:hAnsi="Times New Roman" w:cs="Times New Roman"/>
        </w:rPr>
        <w:t>Judiciary branch of government, the Indiana Supreme Court has the exclusive constitutional authority to adopt, amend, and rescind rules of court that govern and control practice and procedure in all the courts of Indiana.</w:t>
      </w:r>
      <w:r w:rsidRPr="002F5433" w:rsidR="0029691B">
        <w:rPr>
          <w:rFonts w:ascii="Times New Roman" w:hAnsi="Times New Roman" w:cs="Times New Roman"/>
          <w:b/>
          <w:bCs w:val="0"/>
        </w:rPr>
        <w:t xml:space="preserve">  </w:t>
      </w:r>
      <w:r w:rsidR="00D576C7">
        <w:rPr>
          <w:rFonts w:ascii="Times New Roman" w:hAnsi="Times New Roman" w:cs="Times New Roman"/>
        </w:rPr>
        <w:t xml:space="preserve">  </w:t>
      </w:r>
    </w:p>
    <w:p w:rsidR="0031670A" w:rsidP="009C59E6" w:rsidRDefault="0031670A" w14:paraId="5EBB2263" w14:textId="46D3A5BD">
      <w:pPr>
        <w:spacing w:line="480" w:lineRule="auto"/>
        <w:ind w:firstLine="720"/>
        <w:jc w:val="both"/>
        <w:rPr>
          <w:rFonts w:ascii="Times New Roman" w:hAnsi="Times New Roman" w:cs="Times New Roman"/>
        </w:rPr>
      </w:pPr>
      <w:r>
        <w:rPr>
          <w:rFonts w:ascii="Times New Roman" w:hAnsi="Times New Roman" w:cs="Times New Roman"/>
        </w:rPr>
        <w:t xml:space="preserve">When examining the contested statute (IC § 35-40-5-11.5), it appears that the Indiana General Assembly’s intent was to provide </w:t>
      </w:r>
      <w:r w:rsidR="0091435F">
        <w:rPr>
          <w:rFonts w:ascii="Times New Roman" w:hAnsi="Times New Roman" w:cs="Times New Roman"/>
        </w:rPr>
        <w:t>ultra</w:t>
      </w:r>
      <w:r w:rsidR="00722B28">
        <w:rPr>
          <w:rFonts w:ascii="Times New Roman" w:hAnsi="Times New Roman" w:cs="Times New Roman"/>
        </w:rPr>
        <w:t>-enhanced</w:t>
      </w:r>
      <w:r>
        <w:rPr>
          <w:rFonts w:ascii="Times New Roman" w:hAnsi="Times New Roman" w:cs="Times New Roman"/>
        </w:rPr>
        <w:t xml:space="preserve"> protections for the “child victim”</w:t>
      </w:r>
      <w:r w:rsidR="00A72B78">
        <w:rPr>
          <w:rFonts w:ascii="Times New Roman" w:hAnsi="Times New Roman" w:cs="Times New Roman"/>
        </w:rPr>
        <w:t xml:space="preserve"> </w:t>
      </w:r>
      <w:r w:rsidR="005D1D4B">
        <w:rPr>
          <w:rFonts w:ascii="Times New Roman" w:hAnsi="Times New Roman" w:cs="Times New Roman"/>
        </w:rPr>
        <w:t xml:space="preserve">in sex offense </w:t>
      </w:r>
      <w:r w:rsidR="002322B1">
        <w:rPr>
          <w:rFonts w:ascii="Times New Roman" w:hAnsi="Times New Roman" w:cs="Times New Roman"/>
        </w:rPr>
        <w:t>cases.</w:t>
      </w:r>
      <w:r>
        <w:rPr>
          <w:rFonts w:ascii="Times New Roman" w:hAnsi="Times New Roman" w:cs="Times New Roman"/>
        </w:rPr>
        <w:t xml:space="preserve">  A “child victim”, which is a phrase that already presumes the guilt of the accused, is defined by Indiana Code, Section 35-40-5-11.5(b)(2) as a child less than sixteen (16) years of age who is the victim or alleged victim of a sex offense.  The contested statute </w:t>
      </w:r>
      <w:r w:rsidR="002322B1">
        <w:rPr>
          <w:rFonts w:ascii="Times New Roman" w:hAnsi="Times New Roman" w:cs="Times New Roman"/>
        </w:rPr>
        <w:t xml:space="preserve">then </w:t>
      </w:r>
      <w:r w:rsidR="00416071">
        <w:rPr>
          <w:rFonts w:ascii="Times New Roman" w:hAnsi="Times New Roman" w:cs="Times New Roman"/>
        </w:rPr>
        <w:t xml:space="preserve">delineates </w:t>
      </w:r>
      <w:r w:rsidR="00AD6AD7">
        <w:rPr>
          <w:rFonts w:ascii="Times New Roman" w:hAnsi="Times New Roman" w:cs="Times New Roman"/>
        </w:rPr>
        <w:t>detailed procedural requirements that must be met.</w:t>
      </w:r>
    </w:p>
    <w:p w:rsidR="00A43CC7" w:rsidP="009C59E6" w:rsidRDefault="004258AE" w14:paraId="763F7F8C" w14:textId="34804B4B">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lastRenderedPageBreak/>
        <w:t>The “Defendant”</w:t>
      </w:r>
      <w:r w:rsidR="00922BAB">
        <w:rPr>
          <w:rFonts w:ascii="Times New Roman" w:hAnsi="Times New Roman" w:cs="Times New Roman"/>
        </w:rPr>
        <w:t xml:space="preserve">, defined by IC § 35-40-5-11.5(b)(3) as including </w:t>
      </w:r>
      <w:r w:rsidR="00185444">
        <w:rPr>
          <w:rFonts w:ascii="Times New Roman" w:hAnsi="Times New Roman" w:cs="Times New Roman"/>
        </w:rPr>
        <w:t>an attorney representing the defendant</w:t>
      </w:r>
      <w:r w:rsidR="00922BAB">
        <w:rPr>
          <w:rFonts w:ascii="Times New Roman" w:hAnsi="Times New Roman" w:cs="Times New Roman"/>
        </w:rPr>
        <w:t>,</w:t>
      </w:r>
      <w:r w:rsidR="00185444">
        <w:rPr>
          <w:rFonts w:ascii="Times New Roman" w:hAnsi="Times New Roman" w:cs="Times New Roman"/>
        </w:rPr>
        <w:t xml:space="preserve"> must first contact the prosecuting attorney before any contact with the </w:t>
      </w:r>
      <w:r w:rsidR="0056570C">
        <w:rPr>
          <w:rFonts w:ascii="Times New Roman" w:hAnsi="Times New Roman" w:cs="Times New Roman"/>
        </w:rPr>
        <w:t>Child Victim</w:t>
      </w:r>
      <w:r w:rsidR="00C716EE">
        <w:rPr>
          <w:rFonts w:ascii="Times New Roman" w:hAnsi="Times New Roman" w:cs="Times New Roman"/>
        </w:rPr>
        <w:t xml:space="preserve"> </w:t>
      </w:r>
      <w:r w:rsidR="00C716EE">
        <w:rPr>
          <w:rFonts w:ascii="Times New Roman" w:hAnsi="Times New Roman" w:cs="Times New Roman"/>
          <w:u w:val="single"/>
        </w:rPr>
        <w:t>and</w:t>
      </w:r>
      <w:r w:rsidR="00C716EE">
        <w:rPr>
          <w:rFonts w:ascii="Times New Roman" w:hAnsi="Times New Roman" w:cs="Times New Roman"/>
        </w:rPr>
        <w:t xml:space="preserve"> one (1) or more of the following apply:</w:t>
      </w:r>
    </w:p>
    <w:p w:rsidR="00C716EE" w:rsidP="009C59E6" w:rsidRDefault="007F384B" w14:paraId="38D551E4" w14:textId="21C41015">
      <w:pPr>
        <w:pStyle w:val="ListParagraph"/>
        <w:numPr>
          <w:ilvl w:val="1"/>
          <w:numId w:val="6"/>
        </w:numPr>
        <w:spacing w:line="480" w:lineRule="auto"/>
        <w:jc w:val="both"/>
        <w:rPr>
          <w:rFonts w:ascii="Times New Roman" w:hAnsi="Times New Roman" w:cs="Times New Roman"/>
        </w:rPr>
      </w:pPr>
      <w:r>
        <w:rPr>
          <w:rFonts w:ascii="Times New Roman" w:hAnsi="Times New Roman" w:cs="Times New Roman"/>
        </w:rPr>
        <w:t>The prosecuting attorney agrees to the deposition.  If the prosecuting attorney agrees</w:t>
      </w:r>
      <w:r w:rsidR="00C93A63">
        <w:rPr>
          <w:rFonts w:ascii="Times New Roman" w:hAnsi="Times New Roman" w:cs="Times New Roman"/>
        </w:rPr>
        <w:t xml:space="preserve"> to the deposition</w:t>
      </w:r>
      <w:r>
        <w:rPr>
          <w:rFonts w:ascii="Times New Roman" w:hAnsi="Times New Roman" w:cs="Times New Roman"/>
        </w:rPr>
        <w:t>, th</w:t>
      </w:r>
      <w:r w:rsidR="00C93A63">
        <w:rPr>
          <w:rFonts w:ascii="Times New Roman" w:hAnsi="Times New Roman" w:cs="Times New Roman"/>
        </w:rPr>
        <w:t>at</w:t>
      </w:r>
      <w:r w:rsidR="005744DB">
        <w:rPr>
          <w:rFonts w:ascii="Times New Roman" w:hAnsi="Times New Roman" w:cs="Times New Roman"/>
        </w:rPr>
        <w:t xml:space="preserve"> agreement</w:t>
      </w:r>
      <w:r w:rsidR="00C93A63">
        <w:rPr>
          <w:rFonts w:ascii="Times New Roman" w:hAnsi="Times New Roman" w:cs="Times New Roman"/>
        </w:rPr>
        <w:t xml:space="preserve"> may be conditioned upon</w:t>
      </w:r>
      <w:r w:rsidR="005744DB">
        <w:rPr>
          <w:rFonts w:ascii="Times New Roman" w:hAnsi="Times New Roman" w:cs="Times New Roman"/>
        </w:rPr>
        <w:t xml:space="preserve"> the</w:t>
      </w:r>
      <w:r w:rsidR="00C93A63">
        <w:rPr>
          <w:rFonts w:ascii="Times New Roman" w:hAnsi="Times New Roman" w:cs="Times New Roman"/>
        </w:rPr>
        <w:t xml:space="preserve"> </w:t>
      </w:r>
      <w:r w:rsidR="005744DB">
        <w:rPr>
          <w:rFonts w:ascii="Times New Roman" w:hAnsi="Times New Roman" w:cs="Times New Roman"/>
        </w:rPr>
        <w:t xml:space="preserve">Defendant’s </w:t>
      </w:r>
      <w:r w:rsidR="0063393F">
        <w:rPr>
          <w:rFonts w:ascii="Times New Roman" w:hAnsi="Times New Roman" w:cs="Times New Roman"/>
        </w:rPr>
        <w:t>a</w:t>
      </w:r>
      <w:r w:rsidR="00C93A63">
        <w:rPr>
          <w:rFonts w:ascii="Times New Roman" w:hAnsi="Times New Roman" w:cs="Times New Roman"/>
        </w:rPr>
        <w:t>cceptance of</w:t>
      </w:r>
      <w:r w:rsidR="0063393F">
        <w:rPr>
          <w:rFonts w:ascii="Times New Roman" w:hAnsi="Times New Roman" w:cs="Times New Roman"/>
        </w:rPr>
        <w:t xml:space="preserve"> terms dictated by the prosecuting attorney as to how the deposition “shall” be conducted.  [</w:t>
      </w:r>
      <w:bookmarkStart w:name="_Hlk58401188" w:id="0"/>
      <w:r w:rsidR="0063393F">
        <w:rPr>
          <w:rFonts w:ascii="Times New Roman" w:hAnsi="Times New Roman" w:cs="Times New Roman"/>
        </w:rPr>
        <w:t>IC § 35-40-5-11.5(d)(1)]</w:t>
      </w:r>
      <w:bookmarkEnd w:id="0"/>
    </w:p>
    <w:p w:rsidR="00210E05" w:rsidP="009C59E6" w:rsidRDefault="005B170B" w14:paraId="184D4BB5" w14:textId="23DA3E8C">
      <w:pPr>
        <w:pStyle w:val="ListParagraph"/>
        <w:numPr>
          <w:ilvl w:val="1"/>
          <w:numId w:val="6"/>
        </w:numPr>
        <w:spacing w:line="480" w:lineRule="auto"/>
        <w:jc w:val="both"/>
        <w:rPr>
          <w:rFonts w:ascii="Times New Roman" w:hAnsi="Times New Roman" w:cs="Times New Roman"/>
        </w:rPr>
      </w:pPr>
      <w:r>
        <w:rPr>
          <w:rFonts w:ascii="Times New Roman" w:hAnsi="Times New Roman" w:cs="Times New Roman"/>
        </w:rPr>
        <w:t xml:space="preserve">The court </w:t>
      </w:r>
      <w:r w:rsidR="004665EE">
        <w:rPr>
          <w:rFonts w:ascii="Times New Roman" w:hAnsi="Times New Roman" w:cs="Times New Roman"/>
        </w:rPr>
        <w:t>authorizes the deposition after finding at a hearing that there is a reasonable likelihood</w:t>
      </w:r>
      <w:r w:rsidR="00BC3827">
        <w:rPr>
          <w:rFonts w:ascii="Times New Roman" w:hAnsi="Times New Roman" w:cs="Times New Roman"/>
        </w:rPr>
        <w:t xml:space="preserve"> that the child victim will be unavailable for trial and the deposition is necessary to preserve the child victim’s testimony.  [</w:t>
      </w:r>
      <w:r w:rsidR="00D80ACC">
        <w:rPr>
          <w:rFonts w:ascii="Times New Roman" w:hAnsi="Times New Roman" w:cs="Times New Roman"/>
        </w:rPr>
        <w:t>IC § 35-40-5-11.5(d)(2)]</w:t>
      </w:r>
      <w:r w:rsidR="003E1DBB">
        <w:rPr>
          <w:rFonts w:ascii="Times New Roman" w:hAnsi="Times New Roman" w:cs="Times New Roman"/>
        </w:rPr>
        <w:t xml:space="preserve">  At this hearing, the defendant is </w:t>
      </w:r>
      <w:r w:rsidR="0096005B">
        <w:rPr>
          <w:rFonts w:ascii="Times New Roman" w:hAnsi="Times New Roman" w:cs="Times New Roman"/>
        </w:rPr>
        <w:t>required to prove</w:t>
      </w:r>
      <w:r w:rsidR="00876389">
        <w:rPr>
          <w:rFonts w:ascii="Times New Roman" w:hAnsi="Times New Roman" w:cs="Times New Roman"/>
        </w:rPr>
        <w:t xml:space="preserve"> by a preponderance of the evidence</w:t>
      </w:r>
      <w:r w:rsidR="001D06BC">
        <w:rPr>
          <w:rFonts w:ascii="Times New Roman" w:hAnsi="Times New Roman" w:cs="Times New Roman"/>
        </w:rPr>
        <w:t xml:space="preserve"> that the child victim will be unavailable for trial and the deposition is necessary to preserve the child victim’s testimony</w:t>
      </w:r>
      <w:r w:rsidR="0096005B">
        <w:rPr>
          <w:rFonts w:ascii="Times New Roman" w:hAnsi="Times New Roman" w:cs="Times New Roman"/>
        </w:rPr>
        <w:t>.</w:t>
      </w:r>
      <w:r w:rsidR="001D06BC">
        <w:rPr>
          <w:rFonts w:ascii="Times New Roman" w:hAnsi="Times New Roman" w:cs="Times New Roman"/>
        </w:rPr>
        <w:t xml:space="preserve">  [IC § 35-40-5-11.5(f)</w:t>
      </w:r>
      <w:r w:rsidR="000E2FDD">
        <w:rPr>
          <w:rFonts w:ascii="Times New Roman" w:hAnsi="Times New Roman" w:cs="Times New Roman"/>
        </w:rPr>
        <w:t>]</w:t>
      </w:r>
    </w:p>
    <w:p w:rsidR="00BE619A" w:rsidP="009C59E6" w:rsidRDefault="00210E05" w14:paraId="4153B2AA" w14:textId="74BCCFD8">
      <w:pPr>
        <w:pStyle w:val="ListParagraph"/>
        <w:numPr>
          <w:ilvl w:val="1"/>
          <w:numId w:val="6"/>
        </w:numPr>
        <w:spacing w:line="480" w:lineRule="auto"/>
        <w:jc w:val="both"/>
        <w:rPr>
          <w:rFonts w:ascii="Times New Roman" w:hAnsi="Times New Roman" w:cs="Times New Roman"/>
        </w:rPr>
      </w:pPr>
      <w:r>
        <w:rPr>
          <w:rFonts w:ascii="Times New Roman" w:hAnsi="Times New Roman" w:cs="Times New Roman"/>
        </w:rPr>
        <w:t>The court authorizes the deposition after finding at a hearing that</w:t>
      </w:r>
      <w:r w:rsidR="002359CC">
        <w:rPr>
          <w:rFonts w:ascii="Times New Roman" w:hAnsi="Times New Roman" w:cs="Times New Roman"/>
        </w:rPr>
        <w:t xml:space="preserve"> the defendant has established by a preponderance of the evidence that</w:t>
      </w:r>
      <w:r>
        <w:rPr>
          <w:rFonts w:ascii="Times New Roman" w:hAnsi="Times New Roman" w:cs="Times New Roman"/>
        </w:rPr>
        <w:t xml:space="preserve"> the deposition is necessary</w:t>
      </w:r>
      <w:r w:rsidR="00BE619A">
        <w:rPr>
          <w:rFonts w:ascii="Times New Roman" w:hAnsi="Times New Roman" w:cs="Times New Roman"/>
        </w:rPr>
        <w:t>:</w:t>
      </w:r>
    </w:p>
    <w:p w:rsidR="00BE619A" w:rsidP="009C59E6" w:rsidRDefault="00BE619A" w14:paraId="249085BB" w14:textId="77777777">
      <w:pPr>
        <w:pStyle w:val="ListParagraph"/>
        <w:numPr>
          <w:ilvl w:val="2"/>
          <w:numId w:val="6"/>
        </w:numPr>
        <w:spacing w:line="480" w:lineRule="auto"/>
        <w:jc w:val="both"/>
        <w:rPr>
          <w:rFonts w:ascii="Times New Roman" w:hAnsi="Times New Roman" w:cs="Times New Roman"/>
        </w:rPr>
      </w:pPr>
      <w:r>
        <w:rPr>
          <w:rFonts w:ascii="Times New Roman" w:hAnsi="Times New Roman" w:cs="Times New Roman"/>
        </w:rPr>
        <w:t xml:space="preserve">Due to the existence of “extraordinary circumstances” </w:t>
      </w:r>
      <w:r>
        <w:rPr>
          <w:rFonts w:ascii="Times New Roman" w:hAnsi="Times New Roman" w:cs="Times New Roman"/>
          <w:u w:val="single"/>
        </w:rPr>
        <w:t>and</w:t>
      </w:r>
    </w:p>
    <w:p w:rsidR="000E2FDD" w:rsidP="000E2FDD" w:rsidRDefault="00BE619A" w14:paraId="090BD48E" w14:textId="1DBC3B46">
      <w:pPr>
        <w:pStyle w:val="ListParagraph"/>
        <w:numPr>
          <w:ilvl w:val="2"/>
          <w:numId w:val="6"/>
        </w:numPr>
        <w:spacing w:line="480" w:lineRule="auto"/>
        <w:jc w:val="both"/>
        <w:rPr>
          <w:rFonts w:ascii="Times New Roman" w:hAnsi="Times New Roman" w:cs="Times New Roman"/>
        </w:rPr>
      </w:pPr>
      <w:r>
        <w:rPr>
          <w:rFonts w:ascii="Times New Roman" w:hAnsi="Times New Roman" w:cs="Times New Roman"/>
        </w:rPr>
        <w:t>In the “interest of justice.”  [IC § 35-40-5-11.5(d)(3)</w:t>
      </w:r>
      <w:r w:rsidR="00631B39">
        <w:rPr>
          <w:rFonts w:ascii="Times New Roman" w:hAnsi="Times New Roman" w:cs="Times New Roman"/>
        </w:rPr>
        <w:t>, (g)</w:t>
      </w:r>
      <w:r>
        <w:rPr>
          <w:rFonts w:ascii="Times New Roman" w:hAnsi="Times New Roman" w:cs="Times New Roman"/>
        </w:rPr>
        <w:t>]</w:t>
      </w:r>
    </w:p>
    <w:p w:rsidRPr="00BB3AF2" w:rsidR="0031670A" w:rsidP="00BB3AF2" w:rsidRDefault="003D3157" w14:paraId="3F4BEC75" w14:textId="66F068B0">
      <w:pPr>
        <w:pStyle w:val="ListParagraph"/>
        <w:numPr>
          <w:ilvl w:val="0"/>
          <w:numId w:val="6"/>
        </w:numPr>
        <w:spacing w:line="480" w:lineRule="auto"/>
        <w:jc w:val="both"/>
        <w:rPr>
          <w:rFonts w:ascii="Times New Roman" w:hAnsi="Times New Roman" w:cs="Times New Roman"/>
        </w:rPr>
      </w:pPr>
      <w:r>
        <w:rPr>
          <w:rFonts w:ascii="Times New Roman" w:hAnsi="Times New Roman" w:cs="Times New Roman"/>
        </w:rPr>
        <w:t xml:space="preserve">If </w:t>
      </w:r>
      <w:r w:rsidR="004E1E46">
        <w:rPr>
          <w:rFonts w:ascii="Times New Roman" w:hAnsi="Times New Roman" w:cs="Times New Roman"/>
        </w:rPr>
        <w:t xml:space="preserve">the court </w:t>
      </w:r>
      <w:r w:rsidR="00F464D9">
        <w:rPr>
          <w:rFonts w:ascii="Times New Roman" w:hAnsi="Times New Roman" w:cs="Times New Roman"/>
        </w:rPr>
        <w:t xml:space="preserve">grants a request to depose a child victim, the statute </w:t>
      </w:r>
      <w:r w:rsidR="006C6AB9">
        <w:rPr>
          <w:rFonts w:ascii="Times New Roman" w:hAnsi="Times New Roman" w:cs="Times New Roman"/>
        </w:rPr>
        <w:t xml:space="preserve">requires the court to issue a written order describing the reason for granting the petition and setting forth the </w:t>
      </w:r>
      <w:proofErr w:type="gramStart"/>
      <w:r w:rsidR="006C6AB9">
        <w:rPr>
          <w:rFonts w:ascii="Times New Roman" w:hAnsi="Times New Roman" w:cs="Times New Roman"/>
        </w:rPr>
        <w:t>manner in which</w:t>
      </w:r>
      <w:proofErr w:type="gramEnd"/>
      <w:r w:rsidR="006C6AB9">
        <w:rPr>
          <w:rFonts w:ascii="Times New Roman" w:hAnsi="Times New Roman" w:cs="Times New Roman"/>
        </w:rPr>
        <w:t xml:space="preserve"> </w:t>
      </w:r>
      <w:r w:rsidR="001F3AFA">
        <w:rPr>
          <w:rFonts w:ascii="Times New Roman" w:hAnsi="Times New Roman" w:cs="Times New Roman"/>
        </w:rPr>
        <w:t>the deposition shall be conducted.  [IC § 35-40-5-11.5(j</w:t>
      </w:r>
      <w:proofErr w:type="gramStart"/>
      <w:r w:rsidR="001F3AFA">
        <w:rPr>
          <w:rFonts w:ascii="Times New Roman" w:hAnsi="Times New Roman" w:cs="Times New Roman"/>
        </w:rPr>
        <w:t>)]</w:t>
      </w:r>
      <w:r w:rsidR="00134C29">
        <w:rPr>
          <w:rFonts w:ascii="Times New Roman" w:hAnsi="Times New Roman" w:cs="Times New Roman"/>
        </w:rPr>
        <w:t xml:space="preserve">  The</w:t>
      </w:r>
      <w:proofErr w:type="gramEnd"/>
      <w:r w:rsidR="00134C29">
        <w:rPr>
          <w:rFonts w:ascii="Times New Roman" w:hAnsi="Times New Roman" w:cs="Times New Roman"/>
        </w:rPr>
        <w:t xml:space="preserve"> </w:t>
      </w:r>
      <w:r w:rsidR="009F6153">
        <w:rPr>
          <w:rFonts w:ascii="Times New Roman" w:hAnsi="Times New Roman" w:cs="Times New Roman"/>
        </w:rPr>
        <w:t>statute then requires the Court to enter an order with certain protections.  [IC § 35-40-5-11.5(j)(</w:t>
      </w:r>
      <w:r w:rsidR="00D35B73">
        <w:rPr>
          <w:rFonts w:ascii="Times New Roman" w:hAnsi="Times New Roman" w:cs="Times New Roman"/>
        </w:rPr>
        <w:t>1)-(3)]</w:t>
      </w:r>
    </w:p>
    <w:p w:rsidR="00C93036" w:rsidP="00C93036" w:rsidRDefault="004543CD" w14:paraId="1F047962" w14:textId="7F501F6F">
      <w:pPr>
        <w:spacing w:line="480" w:lineRule="auto"/>
        <w:jc w:val="both"/>
        <w:rPr>
          <w:rFonts w:ascii="Times New Roman" w:hAnsi="Times New Roman" w:cs="Times New Roman"/>
        </w:rPr>
      </w:pPr>
      <w:r>
        <w:rPr>
          <w:rFonts w:ascii="Times New Roman" w:hAnsi="Times New Roman" w:cs="Times New Roman"/>
        </w:rPr>
        <w:tab/>
      </w:r>
      <w:r w:rsidR="00BB3AF2">
        <w:rPr>
          <w:rFonts w:ascii="Times New Roman" w:hAnsi="Times New Roman" w:cs="Times New Roman"/>
        </w:rPr>
        <w:t xml:space="preserve">The </w:t>
      </w:r>
      <w:r w:rsidR="00D11A8D">
        <w:rPr>
          <w:rFonts w:ascii="Times New Roman" w:hAnsi="Times New Roman" w:cs="Times New Roman"/>
        </w:rPr>
        <w:t xml:space="preserve">protections set forth in IC § 35-40-5-11.5 are in direct conflict with </w:t>
      </w:r>
      <w:r>
        <w:rPr>
          <w:rFonts w:ascii="Times New Roman" w:hAnsi="Times New Roman" w:cs="Times New Roman"/>
        </w:rPr>
        <w:t>Rule 26 of the Indiana Rules of Trial Procedure</w:t>
      </w:r>
      <w:r w:rsidR="00E9716F">
        <w:rPr>
          <w:rFonts w:ascii="Times New Roman" w:hAnsi="Times New Roman" w:cs="Times New Roman"/>
        </w:rPr>
        <w:t>, entitled “General Provisions Governing Discovery</w:t>
      </w:r>
      <w:r w:rsidR="00D11A8D">
        <w:rPr>
          <w:rFonts w:ascii="Times New Roman" w:hAnsi="Times New Roman" w:cs="Times New Roman"/>
        </w:rPr>
        <w:t>.</w:t>
      </w:r>
      <w:r w:rsidR="009363BE">
        <w:rPr>
          <w:rFonts w:ascii="Times New Roman" w:hAnsi="Times New Roman" w:cs="Times New Roman"/>
        </w:rPr>
        <w:t xml:space="preserve">” </w:t>
      </w:r>
      <w:r w:rsidR="00BA47CA">
        <w:rPr>
          <w:rFonts w:ascii="Times New Roman" w:hAnsi="Times New Roman" w:cs="Times New Roman"/>
        </w:rPr>
        <w:t xml:space="preserve"> </w:t>
      </w:r>
      <w:r w:rsidR="00623062">
        <w:rPr>
          <w:rFonts w:ascii="Times New Roman" w:hAnsi="Times New Roman" w:cs="Times New Roman"/>
        </w:rPr>
        <w:t xml:space="preserve">A closer examination of the contested statute illustrates this </w:t>
      </w:r>
      <w:r w:rsidR="00857F90">
        <w:rPr>
          <w:rFonts w:ascii="Times New Roman" w:hAnsi="Times New Roman" w:cs="Times New Roman"/>
        </w:rPr>
        <w:t>irreconcilable contraction.</w:t>
      </w:r>
      <w:r w:rsidR="00696971">
        <w:rPr>
          <w:rFonts w:ascii="Times New Roman" w:hAnsi="Times New Roman" w:cs="Times New Roman"/>
        </w:rPr>
        <w:t xml:space="preserve"> </w:t>
      </w:r>
      <w:r w:rsidR="00034882">
        <w:rPr>
          <w:rFonts w:ascii="Times New Roman" w:hAnsi="Times New Roman" w:cs="Times New Roman"/>
        </w:rPr>
        <w:t xml:space="preserve"> </w:t>
      </w:r>
      <w:r w:rsidR="00696971">
        <w:rPr>
          <w:rFonts w:ascii="Times New Roman" w:hAnsi="Times New Roman" w:cs="Times New Roman"/>
        </w:rPr>
        <w:t xml:space="preserve">First, the prosecuting attorney is given </w:t>
      </w:r>
      <w:r w:rsidR="008E4225">
        <w:rPr>
          <w:rFonts w:ascii="Times New Roman" w:hAnsi="Times New Roman" w:cs="Times New Roman"/>
        </w:rPr>
        <w:t xml:space="preserve">the power to initially dictate whether a deposition of a child victim </w:t>
      </w:r>
      <w:r w:rsidR="00696647">
        <w:rPr>
          <w:rFonts w:ascii="Times New Roman" w:hAnsi="Times New Roman" w:cs="Times New Roman"/>
        </w:rPr>
        <w:t>is even permitted.  Then, the prosecuting attorney can condition approval based upon conditions</w:t>
      </w:r>
      <w:r w:rsidR="00B47DD0">
        <w:rPr>
          <w:rFonts w:ascii="Times New Roman" w:hAnsi="Times New Roman" w:cs="Times New Roman"/>
        </w:rPr>
        <w:t xml:space="preserve"> </w:t>
      </w:r>
      <w:r w:rsidR="000C0BEE">
        <w:rPr>
          <w:rFonts w:ascii="Times New Roman" w:hAnsi="Times New Roman" w:cs="Times New Roman"/>
        </w:rPr>
        <w:t xml:space="preserve">that </w:t>
      </w:r>
      <w:r w:rsidR="005A690E">
        <w:rPr>
          <w:rFonts w:ascii="Times New Roman" w:hAnsi="Times New Roman" w:cs="Times New Roman"/>
        </w:rPr>
        <w:t>are solely determined by the prosecuting attorney</w:t>
      </w:r>
      <w:r w:rsidR="000C0BEE">
        <w:rPr>
          <w:rFonts w:ascii="Times New Roman" w:hAnsi="Times New Roman" w:cs="Times New Roman"/>
        </w:rPr>
        <w:t>.</w:t>
      </w:r>
      <w:r w:rsidR="005A690E">
        <w:rPr>
          <w:rFonts w:ascii="Times New Roman" w:hAnsi="Times New Roman" w:cs="Times New Roman"/>
        </w:rPr>
        <w:t xml:space="preserve">  By </w:t>
      </w:r>
      <w:r w:rsidR="005A690E">
        <w:rPr>
          <w:rFonts w:ascii="Times New Roman" w:hAnsi="Times New Roman" w:cs="Times New Roman"/>
        </w:rPr>
        <w:lastRenderedPageBreak/>
        <w:t xml:space="preserve">creating this power, the contested statute </w:t>
      </w:r>
      <w:r w:rsidR="00F96F51">
        <w:rPr>
          <w:rFonts w:ascii="Times New Roman" w:hAnsi="Times New Roman" w:cs="Times New Roman"/>
        </w:rPr>
        <w:t xml:space="preserve">allows the prosecuting attorney to dictate in terms of adhesion if and how the </w:t>
      </w:r>
      <w:r w:rsidR="00FB422F">
        <w:rPr>
          <w:rFonts w:ascii="Times New Roman" w:hAnsi="Times New Roman" w:cs="Times New Roman"/>
        </w:rPr>
        <w:t>d</w:t>
      </w:r>
      <w:r w:rsidR="00F96F51">
        <w:rPr>
          <w:rFonts w:ascii="Times New Roman" w:hAnsi="Times New Roman" w:cs="Times New Roman"/>
        </w:rPr>
        <w:t xml:space="preserve">efendant may </w:t>
      </w:r>
      <w:r w:rsidR="001B580D">
        <w:rPr>
          <w:rFonts w:ascii="Times New Roman" w:hAnsi="Times New Roman" w:cs="Times New Roman"/>
        </w:rPr>
        <w:t>depose the child victim.  Second, if the prosecuting attorney does not agree</w:t>
      </w:r>
      <w:r w:rsidR="00B029C9">
        <w:rPr>
          <w:rFonts w:ascii="Times New Roman" w:hAnsi="Times New Roman" w:cs="Times New Roman"/>
        </w:rPr>
        <w:t xml:space="preserve">, in full or conditionally, to a deposition of a child victim, the defendant must seek relief from the court.  </w:t>
      </w:r>
      <w:r w:rsidR="00FB422F">
        <w:rPr>
          <w:rFonts w:ascii="Times New Roman" w:hAnsi="Times New Roman" w:cs="Times New Roman"/>
        </w:rPr>
        <w:t xml:space="preserve">An unnecessary impediment to discovery is then placed upon the defendant to prove </w:t>
      </w:r>
      <w:r w:rsidR="000427B0">
        <w:rPr>
          <w:rFonts w:ascii="Times New Roman" w:hAnsi="Times New Roman" w:cs="Times New Roman"/>
        </w:rPr>
        <w:t>that the deposition of the child victim is necessary.</w:t>
      </w:r>
    </w:p>
    <w:p w:rsidR="00F20B6D" w:rsidP="00C93036" w:rsidRDefault="00A05063" w14:paraId="37EE3254" w14:textId="5DB03F26">
      <w:pPr>
        <w:spacing w:line="480" w:lineRule="auto"/>
        <w:ind w:firstLine="720"/>
        <w:jc w:val="both"/>
        <w:rPr>
          <w:rFonts w:ascii="Times New Roman" w:hAnsi="Times New Roman" w:cs="Times New Roman"/>
        </w:rPr>
      </w:pPr>
      <w:r>
        <w:rPr>
          <w:rFonts w:ascii="Times New Roman" w:hAnsi="Times New Roman" w:cs="Times New Roman"/>
        </w:rPr>
        <w:t xml:space="preserve">In essence, IC § 35-40-5-11.5 </w:t>
      </w:r>
      <w:r w:rsidR="00121AD6">
        <w:rPr>
          <w:rFonts w:ascii="Times New Roman" w:hAnsi="Times New Roman" w:cs="Times New Roman"/>
        </w:rPr>
        <w:t>unconstitu</w:t>
      </w:r>
      <w:r w:rsidR="00A11664">
        <w:rPr>
          <w:rFonts w:ascii="Times New Roman" w:hAnsi="Times New Roman" w:cs="Times New Roman"/>
        </w:rPr>
        <w:t xml:space="preserve">tionally </w:t>
      </w:r>
      <w:r>
        <w:rPr>
          <w:rFonts w:ascii="Times New Roman" w:hAnsi="Times New Roman" w:cs="Times New Roman"/>
        </w:rPr>
        <w:t>attempts to usurp the discovery methods</w:t>
      </w:r>
      <w:r w:rsidR="00F97991">
        <w:rPr>
          <w:rFonts w:ascii="Times New Roman" w:hAnsi="Times New Roman" w:cs="Times New Roman"/>
        </w:rPr>
        <w:t xml:space="preserve"> already promulgated by the Judiciary Branch.  </w:t>
      </w:r>
      <w:r w:rsidR="007842E5">
        <w:rPr>
          <w:rFonts w:ascii="Times New Roman" w:hAnsi="Times New Roman" w:cs="Times New Roman"/>
        </w:rPr>
        <w:t>The</w:t>
      </w:r>
      <w:r w:rsidR="00F97991">
        <w:rPr>
          <w:rFonts w:ascii="Times New Roman" w:hAnsi="Times New Roman" w:cs="Times New Roman"/>
        </w:rPr>
        <w:t xml:space="preserve"> protections set forth in the contested statute are unnecessary </w:t>
      </w:r>
      <w:r w:rsidR="004A6989">
        <w:rPr>
          <w:rFonts w:ascii="Times New Roman" w:hAnsi="Times New Roman" w:cs="Times New Roman"/>
        </w:rPr>
        <w:t>as protections already exist in Rule 26(C) of the Indiana Rules of Trial Procedure.</w:t>
      </w:r>
      <w:r w:rsidR="00F447A2">
        <w:rPr>
          <w:rFonts w:ascii="Times New Roman" w:hAnsi="Times New Roman" w:cs="Times New Roman"/>
        </w:rPr>
        <w:t xml:space="preserve">  It is noteworthy that the contested statute</w:t>
      </w:r>
      <w:r w:rsidR="00A11664">
        <w:rPr>
          <w:rFonts w:ascii="Times New Roman" w:hAnsi="Times New Roman" w:cs="Times New Roman"/>
        </w:rPr>
        <w:t xml:space="preserve"> </w:t>
      </w:r>
      <w:r w:rsidR="00957BC8">
        <w:rPr>
          <w:rFonts w:ascii="Times New Roman" w:hAnsi="Times New Roman" w:cs="Times New Roman"/>
        </w:rPr>
        <w:t xml:space="preserve">mandates the reviewing court to issue a protective order under this Rule </w:t>
      </w:r>
      <w:r w:rsidR="00F6305E">
        <w:rPr>
          <w:rFonts w:ascii="Times New Roman" w:hAnsi="Times New Roman" w:cs="Times New Roman"/>
        </w:rPr>
        <w:t>“if applicable.”  [IC § 35-40-5-11.5(j)(3)]</w:t>
      </w:r>
      <w:r w:rsidR="00606632">
        <w:rPr>
          <w:rFonts w:ascii="Times New Roman" w:hAnsi="Times New Roman" w:cs="Times New Roman"/>
        </w:rPr>
        <w:t xml:space="preserve">  Rule 26(C) of the Indiana Rules of Trial Procedure</w:t>
      </w:r>
      <w:r w:rsidR="009B62D9">
        <w:rPr>
          <w:rFonts w:ascii="Times New Roman" w:hAnsi="Times New Roman" w:cs="Times New Roman"/>
        </w:rPr>
        <w:t xml:space="preserve"> permits either party (including the prosecuting attorney)</w:t>
      </w:r>
      <w:r w:rsidR="00CD623A">
        <w:rPr>
          <w:rFonts w:ascii="Times New Roman" w:hAnsi="Times New Roman" w:cs="Times New Roman"/>
        </w:rPr>
        <w:t xml:space="preserve"> to file a motion with the court for an order of protection</w:t>
      </w:r>
      <w:r w:rsidR="00091F54">
        <w:rPr>
          <w:rFonts w:ascii="Times New Roman" w:hAnsi="Times New Roman" w:cs="Times New Roman"/>
        </w:rPr>
        <w:t>.  If good cause is shown, the court can issue an order protecting a party or person from “annoyance, embarrassment, oppression, or undue burden</w:t>
      </w:r>
      <w:r w:rsidR="00F20B6D">
        <w:rPr>
          <w:rFonts w:ascii="Times New Roman" w:hAnsi="Times New Roman" w:cs="Times New Roman"/>
        </w:rPr>
        <w:t xml:space="preserve"> or expense, including one or more of the following:</w:t>
      </w:r>
    </w:p>
    <w:p w:rsidR="0029691B" w:rsidP="002823AA" w:rsidRDefault="00354C72" w14:paraId="2018C0B7" w14:textId="69C31890">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That the discovery </w:t>
      </w:r>
      <w:proofErr w:type="gramStart"/>
      <w:r>
        <w:rPr>
          <w:rFonts w:ascii="Times New Roman" w:hAnsi="Times New Roman" w:cs="Times New Roman"/>
        </w:rPr>
        <w:t>not be</w:t>
      </w:r>
      <w:proofErr w:type="gramEnd"/>
      <w:r>
        <w:rPr>
          <w:rFonts w:ascii="Times New Roman" w:hAnsi="Times New Roman" w:cs="Times New Roman"/>
        </w:rPr>
        <w:t xml:space="preserve"> had;</w:t>
      </w:r>
    </w:p>
    <w:p w:rsidR="00354C72" w:rsidP="002823AA" w:rsidRDefault="00354C72" w14:paraId="7C922925" w14:textId="0C7BF57D">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That the discovery </w:t>
      </w:r>
      <w:r w:rsidR="00E84882">
        <w:rPr>
          <w:rFonts w:ascii="Times New Roman" w:hAnsi="Times New Roman" w:cs="Times New Roman"/>
        </w:rPr>
        <w:t xml:space="preserve">may be had only on special terms and conditions, including a designation of the time or </w:t>
      </w:r>
      <w:proofErr w:type="gramStart"/>
      <w:r w:rsidR="00E84882">
        <w:rPr>
          <w:rFonts w:ascii="Times New Roman" w:hAnsi="Times New Roman" w:cs="Times New Roman"/>
        </w:rPr>
        <w:t>place;</w:t>
      </w:r>
      <w:proofErr w:type="gramEnd"/>
    </w:p>
    <w:p w:rsidR="00A30E67" w:rsidP="002823AA" w:rsidRDefault="00A55CEF" w14:paraId="0A856DB7" w14:textId="1364AC54">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That the discovery may be had only by a method of discovery other than that </w:t>
      </w:r>
      <w:r w:rsidR="00C52D62">
        <w:rPr>
          <w:rFonts w:ascii="Times New Roman" w:hAnsi="Times New Roman" w:cs="Times New Roman"/>
        </w:rPr>
        <w:t>selected by the party</w:t>
      </w:r>
      <w:r w:rsidR="00760AF1">
        <w:rPr>
          <w:rFonts w:ascii="Times New Roman" w:hAnsi="Times New Roman" w:cs="Times New Roman"/>
        </w:rPr>
        <w:t xml:space="preserve"> seeking </w:t>
      </w:r>
      <w:proofErr w:type="gramStart"/>
      <w:r w:rsidR="00760AF1">
        <w:rPr>
          <w:rFonts w:ascii="Times New Roman" w:hAnsi="Times New Roman" w:cs="Times New Roman"/>
        </w:rPr>
        <w:t>discovery;</w:t>
      </w:r>
      <w:proofErr w:type="gramEnd"/>
    </w:p>
    <w:p w:rsidR="00760AF1" w:rsidP="002823AA" w:rsidRDefault="00760AF1" w14:paraId="1833CD0A" w14:textId="5D876DCE">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That certain matters </w:t>
      </w:r>
      <w:proofErr w:type="gramStart"/>
      <w:r>
        <w:rPr>
          <w:rFonts w:ascii="Times New Roman" w:hAnsi="Times New Roman" w:cs="Times New Roman"/>
        </w:rPr>
        <w:t>not be</w:t>
      </w:r>
      <w:proofErr w:type="gramEnd"/>
      <w:r>
        <w:rPr>
          <w:rFonts w:ascii="Times New Roman" w:hAnsi="Times New Roman" w:cs="Times New Roman"/>
        </w:rPr>
        <w:t xml:space="preserve"> inquired into, or that the scope of the discovery be limited to certain matters;</w:t>
      </w:r>
    </w:p>
    <w:p w:rsidR="00760AF1" w:rsidP="002823AA" w:rsidRDefault="00760AF1" w14:paraId="2F8C59EB" w14:textId="43421F5F">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That discovery be conducted with no one present except the parties and their attorneys and persons designated </w:t>
      </w:r>
      <w:r w:rsidR="00D25CC6">
        <w:rPr>
          <w:rFonts w:ascii="Times New Roman" w:hAnsi="Times New Roman" w:cs="Times New Roman"/>
        </w:rPr>
        <w:t xml:space="preserve">by the </w:t>
      </w:r>
      <w:proofErr w:type="gramStart"/>
      <w:r w:rsidR="00D25CC6">
        <w:rPr>
          <w:rFonts w:ascii="Times New Roman" w:hAnsi="Times New Roman" w:cs="Times New Roman"/>
        </w:rPr>
        <w:t>court;</w:t>
      </w:r>
      <w:proofErr w:type="gramEnd"/>
    </w:p>
    <w:p w:rsidR="002045C1" w:rsidP="002823AA" w:rsidRDefault="002045C1" w14:paraId="5ABA589A" w14:textId="1AA26CB9">
      <w:pPr>
        <w:pStyle w:val="ListParagraph"/>
        <w:numPr>
          <w:ilvl w:val="0"/>
          <w:numId w:val="7"/>
        </w:numPr>
        <w:spacing w:line="480" w:lineRule="auto"/>
        <w:jc w:val="both"/>
        <w:rPr>
          <w:rFonts w:ascii="Times New Roman" w:hAnsi="Times New Roman" w:cs="Times New Roman"/>
        </w:rPr>
      </w:pPr>
      <w:r>
        <w:rPr>
          <w:rFonts w:ascii="Times New Roman" w:hAnsi="Times New Roman" w:cs="Times New Roman"/>
        </w:rPr>
        <w:t xml:space="preserve">That a deposition after being sealed be opened only by order of the </w:t>
      </w:r>
      <w:proofErr w:type="gramStart"/>
      <w:r>
        <w:rPr>
          <w:rFonts w:ascii="Times New Roman" w:hAnsi="Times New Roman" w:cs="Times New Roman"/>
        </w:rPr>
        <w:t>court</w:t>
      </w:r>
      <w:r w:rsidR="001F315D">
        <w:rPr>
          <w:rFonts w:ascii="Times New Roman" w:hAnsi="Times New Roman" w:cs="Times New Roman"/>
        </w:rPr>
        <w:t>;</w:t>
      </w:r>
      <w:proofErr w:type="gramEnd"/>
    </w:p>
    <w:p w:rsidR="001F315D" w:rsidP="002823AA" w:rsidRDefault="001F315D" w14:paraId="6431A7BF" w14:textId="4E588AB3">
      <w:pPr>
        <w:spacing w:line="480" w:lineRule="auto"/>
        <w:ind w:firstLine="360"/>
        <w:rPr>
          <w:rFonts w:ascii="Times New Roman" w:hAnsi="Times New Roman" w:cs="Times New Roman"/>
        </w:rPr>
      </w:pPr>
      <w:r>
        <w:rPr>
          <w:rFonts w:ascii="Times New Roman" w:hAnsi="Times New Roman" w:cs="Times New Roman"/>
        </w:rPr>
        <w:t>…</w:t>
      </w:r>
      <w:r w:rsidR="00217C7A">
        <w:rPr>
          <w:rFonts w:ascii="Times New Roman" w:hAnsi="Times New Roman" w:cs="Times New Roman"/>
        </w:rPr>
        <w:t>”</w:t>
      </w:r>
    </w:p>
    <w:p w:rsidR="006502AB" w:rsidP="006502AB" w:rsidRDefault="006502AB" w14:paraId="35CDE0A0" w14:textId="77777777">
      <w:pPr>
        <w:spacing w:line="276" w:lineRule="auto"/>
        <w:ind w:firstLine="360"/>
        <w:rPr>
          <w:rFonts w:ascii="Times New Roman" w:hAnsi="Times New Roman" w:cs="Times New Roman"/>
        </w:rPr>
      </w:pPr>
    </w:p>
    <w:p w:rsidRPr="001666C8" w:rsidR="001C78A2" w:rsidP="001666C8" w:rsidRDefault="00F821F6" w14:paraId="7CBC135A" w14:textId="5D1AFA89">
      <w:pPr>
        <w:spacing w:line="480" w:lineRule="auto"/>
        <w:jc w:val="both"/>
        <w:rPr>
          <w:rFonts w:ascii="Times New Roman" w:hAnsi="Times New Roman" w:cs="Times New Roman"/>
        </w:rPr>
      </w:pPr>
      <w:r>
        <w:rPr>
          <w:rFonts w:ascii="Times New Roman" w:hAnsi="Times New Roman" w:cs="Times New Roman"/>
        </w:rPr>
        <w:lastRenderedPageBreak/>
        <w:t xml:space="preserve">After review of this laundry list of protections afforded under Rule 26(C) of the Indiana Rules of Trial Procedure, it becomes evident that the drafters of </w:t>
      </w:r>
      <w:r w:rsidR="00156356">
        <w:rPr>
          <w:rFonts w:ascii="Times New Roman" w:hAnsi="Times New Roman" w:cs="Times New Roman"/>
        </w:rPr>
        <w:t>IC § 35-40-5-11.5</w:t>
      </w:r>
      <w:r>
        <w:rPr>
          <w:rFonts w:ascii="Times New Roman" w:hAnsi="Times New Roman" w:cs="Times New Roman"/>
        </w:rPr>
        <w:t xml:space="preserve"> </w:t>
      </w:r>
      <w:r w:rsidR="00435E32">
        <w:rPr>
          <w:rFonts w:ascii="Times New Roman" w:hAnsi="Times New Roman" w:cs="Times New Roman"/>
        </w:rPr>
        <w:t xml:space="preserve">either </w:t>
      </w:r>
      <w:r w:rsidR="00332E47">
        <w:rPr>
          <w:rFonts w:ascii="Times New Roman" w:hAnsi="Times New Roman" w:cs="Times New Roman"/>
        </w:rPr>
        <w:t xml:space="preserve">completely </w:t>
      </w:r>
      <w:r w:rsidR="00435E32">
        <w:rPr>
          <w:rFonts w:ascii="Times New Roman" w:hAnsi="Times New Roman" w:cs="Times New Roman"/>
        </w:rPr>
        <w:t xml:space="preserve">ignored </w:t>
      </w:r>
      <w:r w:rsidR="009E3E24">
        <w:rPr>
          <w:rFonts w:ascii="Times New Roman" w:hAnsi="Times New Roman" w:cs="Times New Roman"/>
        </w:rPr>
        <w:t xml:space="preserve">Rule 26(C) or </w:t>
      </w:r>
      <w:r w:rsidR="00D735E6">
        <w:rPr>
          <w:rFonts w:ascii="Times New Roman" w:hAnsi="Times New Roman" w:cs="Times New Roman"/>
        </w:rPr>
        <w:t>believed that its protections were</w:t>
      </w:r>
      <w:r w:rsidR="00836140">
        <w:rPr>
          <w:rFonts w:ascii="Times New Roman" w:hAnsi="Times New Roman" w:cs="Times New Roman"/>
        </w:rPr>
        <w:t xml:space="preserve"> either too minimal or entirely</w:t>
      </w:r>
      <w:r w:rsidR="00D735E6">
        <w:rPr>
          <w:rFonts w:ascii="Times New Roman" w:hAnsi="Times New Roman" w:cs="Times New Roman"/>
        </w:rPr>
        <w:t xml:space="preserve"> impotent</w:t>
      </w:r>
      <w:r w:rsidR="00836140">
        <w:rPr>
          <w:rFonts w:ascii="Times New Roman" w:hAnsi="Times New Roman" w:cs="Times New Roman"/>
        </w:rPr>
        <w:t xml:space="preserve"> altogether</w:t>
      </w:r>
      <w:r w:rsidR="00D735E6">
        <w:rPr>
          <w:rFonts w:ascii="Times New Roman" w:hAnsi="Times New Roman" w:cs="Times New Roman"/>
        </w:rPr>
        <w:t xml:space="preserve">.  </w:t>
      </w:r>
      <w:r w:rsidR="00745F7E">
        <w:rPr>
          <w:rFonts w:ascii="Times New Roman" w:hAnsi="Times New Roman" w:cs="Times New Roman"/>
        </w:rPr>
        <w:t>Using its constitutional authority, t</w:t>
      </w:r>
      <w:r w:rsidR="00F7056A">
        <w:rPr>
          <w:rFonts w:ascii="Times New Roman" w:hAnsi="Times New Roman" w:cs="Times New Roman"/>
        </w:rPr>
        <w:t xml:space="preserve">he Indiana Supreme Court </w:t>
      </w:r>
      <w:r w:rsidR="00B91A6F">
        <w:rPr>
          <w:rFonts w:ascii="Times New Roman" w:hAnsi="Times New Roman" w:cs="Times New Roman"/>
        </w:rPr>
        <w:t>clearly and un</w:t>
      </w:r>
      <w:r w:rsidR="009451E3">
        <w:rPr>
          <w:rFonts w:ascii="Times New Roman" w:hAnsi="Times New Roman" w:cs="Times New Roman"/>
        </w:rPr>
        <w:t>ambiguously prescribe</w:t>
      </w:r>
      <w:r w:rsidR="00FF229F">
        <w:rPr>
          <w:rFonts w:ascii="Times New Roman" w:hAnsi="Times New Roman" w:cs="Times New Roman"/>
        </w:rPr>
        <w:t>d</w:t>
      </w:r>
      <w:r w:rsidR="009451E3">
        <w:rPr>
          <w:rFonts w:ascii="Times New Roman" w:hAnsi="Times New Roman" w:cs="Times New Roman"/>
        </w:rPr>
        <w:t xml:space="preserve"> the extent of </w:t>
      </w:r>
      <w:r w:rsidR="004D4EC9">
        <w:rPr>
          <w:rFonts w:ascii="Times New Roman" w:hAnsi="Times New Roman" w:cs="Times New Roman"/>
        </w:rPr>
        <w:t xml:space="preserve">limitations and </w:t>
      </w:r>
      <w:r w:rsidR="009451E3">
        <w:rPr>
          <w:rFonts w:ascii="Times New Roman" w:hAnsi="Times New Roman" w:cs="Times New Roman"/>
        </w:rPr>
        <w:t xml:space="preserve">restrictions that can be </w:t>
      </w:r>
      <w:r w:rsidR="00745F7E">
        <w:rPr>
          <w:rFonts w:ascii="Times New Roman" w:hAnsi="Times New Roman" w:cs="Times New Roman"/>
        </w:rPr>
        <w:t xml:space="preserve">placed on methods of discovery.  </w:t>
      </w:r>
      <w:r w:rsidR="00FF229F">
        <w:rPr>
          <w:rFonts w:ascii="Times New Roman" w:hAnsi="Times New Roman" w:cs="Times New Roman"/>
        </w:rPr>
        <w:t>Regardless of the impetus behind the creation of the contested statute, the fact remains that it unconstitutionally violates the separation of powers set forth in the Indiana Constitution.</w:t>
      </w:r>
    </w:p>
    <w:sectPr w:rsidRPr="001666C8" w:rsidR="001C78A2" w:rsidSect="00402678">
      <w:type w:val="continuous"/>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F26A8"/>
    <w:multiLevelType w:val="hybridMultilevel"/>
    <w:tmpl w:val="666257DA"/>
    <w:lvl w:ilvl="0" w:tplc="2A4E4556">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95C4F6C"/>
    <w:multiLevelType w:val="hybridMultilevel"/>
    <w:tmpl w:val="8B4C8DE0"/>
    <w:lvl w:ilvl="0" w:tplc="C35C1E9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B0BCD"/>
    <w:multiLevelType w:val="hybridMultilevel"/>
    <w:tmpl w:val="B5C839B6"/>
    <w:lvl w:ilvl="0" w:tplc="E0048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143B8E"/>
    <w:multiLevelType w:val="hybridMultilevel"/>
    <w:tmpl w:val="70341AE4"/>
    <w:lvl w:ilvl="0" w:tplc="B2D645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4F114BE"/>
    <w:multiLevelType w:val="hybridMultilevel"/>
    <w:tmpl w:val="BC82689C"/>
    <w:lvl w:ilvl="0" w:tplc="5330B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694F06"/>
    <w:multiLevelType w:val="hybridMultilevel"/>
    <w:tmpl w:val="34C85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905A9B"/>
    <w:multiLevelType w:val="hybridMultilevel"/>
    <w:tmpl w:val="EAEC09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955"/>
    <w:rsid w:val="00020E92"/>
    <w:rsid w:val="00034882"/>
    <w:rsid w:val="000427B0"/>
    <w:rsid w:val="00045A09"/>
    <w:rsid w:val="00060FDE"/>
    <w:rsid w:val="00082FA3"/>
    <w:rsid w:val="00091F54"/>
    <w:rsid w:val="000953FF"/>
    <w:rsid w:val="000A59B9"/>
    <w:rsid w:val="000A7367"/>
    <w:rsid w:val="000B462B"/>
    <w:rsid w:val="000B600B"/>
    <w:rsid w:val="000C0BEE"/>
    <w:rsid w:val="000D6885"/>
    <w:rsid w:val="000E2FDD"/>
    <w:rsid w:val="000E314F"/>
    <w:rsid w:val="000E5C3F"/>
    <w:rsid w:val="00101C28"/>
    <w:rsid w:val="00104348"/>
    <w:rsid w:val="001107BA"/>
    <w:rsid w:val="00121AD6"/>
    <w:rsid w:val="00134C29"/>
    <w:rsid w:val="001352C9"/>
    <w:rsid w:val="001515E5"/>
    <w:rsid w:val="0015441F"/>
    <w:rsid w:val="00156356"/>
    <w:rsid w:val="00164238"/>
    <w:rsid w:val="001666C8"/>
    <w:rsid w:val="00177CC0"/>
    <w:rsid w:val="00177DDF"/>
    <w:rsid w:val="00181877"/>
    <w:rsid w:val="00185444"/>
    <w:rsid w:val="00187E24"/>
    <w:rsid w:val="001A1A2F"/>
    <w:rsid w:val="001A2D30"/>
    <w:rsid w:val="001B1EFD"/>
    <w:rsid w:val="001B580D"/>
    <w:rsid w:val="001B6859"/>
    <w:rsid w:val="001C366D"/>
    <w:rsid w:val="001C78A2"/>
    <w:rsid w:val="001D06BC"/>
    <w:rsid w:val="001F15C0"/>
    <w:rsid w:val="001F315D"/>
    <w:rsid w:val="001F3AFA"/>
    <w:rsid w:val="001F4824"/>
    <w:rsid w:val="002045C1"/>
    <w:rsid w:val="00210E05"/>
    <w:rsid w:val="00217C7A"/>
    <w:rsid w:val="0022106E"/>
    <w:rsid w:val="00225E4E"/>
    <w:rsid w:val="002270AB"/>
    <w:rsid w:val="00227D1B"/>
    <w:rsid w:val="00231B64"/>
    <w:rsid w:val="002322B1"/>
    <w:rsid w:val="002359CC"/>
    <w:rsid w:val="00241403"/>
    <w:rsid w:val="002507C3"/>
    <w:rsid w:val="00271AE7"/>
    <w:rsid w:val="00280007"/>
    <w:rsid w:val="002823AA"/>
    <w:rsid w:val="0028382A"/>
    <w:rsid w:val="0029691B"/>
    <w:rsid w:val="00296FFF"/>
    <w:rsid w:val="002A0B08"/>
    <w:rsid w:val="002A0D21"/>
    <w:rsid w:val="002A11EA"/>
    <w:rsid w:val="002A4A6B"/>
    <w:rsid w:val="002A5D3A"/>
    <w:rsid w:val="002B56E8"/>
    <w:rsid w:val="002C4560"/>
    <w:rsid w:val="002C4DF0"/>
    <w:rsid w:val="002E004E"/>
    <w:rsid w:val="002E07C9"/>
    <w:rsid w:val="002E2C3D"/>
    <w:rsid w:val="002E68AC"/>
    <w:rsid w:val="002E6E76"/>
    <w:rsid w:val="002F5433"/>
    <w:rsid w:val="002F5AF8"/>
    <w:rsid w:val="0030472F"/>
    <w:rsid w:val="0031670A"/>
    <w:rsid w:val="003204AB"/>
    <w:rsid w:val="00332E47"/>
    <w:rsid w:val="00354C72"/>
    <w:rsid w:val="0037345D"/>
    <w:rsid w:val="0038768D"/>
    <w:rsid w:val="003A6FE5"/>
    <w:rsid w:val="003D3157"/>
    <w:rsid w:val="003E1DBB"/>
    <w:rsid w:val="00402678"/>
    <w:rsid w:val="00411213"/>
    <w:rsid w:val="00415CF1"/>
    <w:rsid w:val="00416071"/>
    <w:rsid w:val="004201F3"/>
    <w:rsid w:val="0042045B"/>
    <w:rsid w:val="00424842"/>
    <w:rsid w:val="004258AE"/>
    <w:rsid w:val="00435E32"/>
    <w:rsid w:val="00441624"/>
    <w:rsid w:val="00442D32"/>
    <w:rsid w:val="004543CD"/>
    <w:rsid w:val="004659C1"/>
    <w:rsid w:val="004665EE"/>
    <w:rsid w:val="00483DF0"/>
    <w:rsid w:val="00497233"/>
    <w:rsid w:val="004A1D2D"/>
    <w:rsid w:val="004A6989"/>
    <w:rsid w:val="004B12C2"/>
    <w:rsid w:val="004B6E02"/>
    <w:rsid w:val="004D43AA"/>
    <w:rsid w:val="004D4C4F"/>
    <w:rsid w:val="004D4EC9"/>
    <w:rsid w:val="004D7FE1"/>
    <w:rsid w:val="004E1E46"/>
    <w:rsid w:val="005073DA"/>
    <w:rsid w:val="00522554"/>
    <w:rsid w:val="00534A91"/>
    <w:rsid w:val="00553BC4"/>
    <w:rsid w:val="005577E7"/>
    <w:rsid w:val="0056570C"/>
    <w:rsid w:val="00565AE5"/>
    <w:rsid w:val="005744DB"/>
    <w:rsid w:val="00577CA4"/>
    <w:rsid w:val="0058758C"/>
    <w:rsid w:val="00591B5C"/>
    <w:rsid w:val="005A690E"/>
    <w:rsid w:val="005B170B"/>
    <w:rsid w:val="005C5F83"/>
    <w:rsid w:val="005D115D"/>
    <w:rsid w:val="005D1D4B"/>
    <w:rsid w:val="00600517"/>
    <w:rsid w:val="00606632"/>
    <w:rsid w:val="00614F71"/>
    <w:rsid w:val="00623062"/>
    <w:rsid w:val="0063041E"/>
    <w:rsid w:val="00631B39"/>
    <w:rsid w:val="0063393F"/>
    <w:rsid w:val="0063640B"/>
    <w:rsid w:val="00637558"/>
    <w:rsid w:val="00642DCF"/>
    <w:rsid w:val="006502AB"/>
    <w:rsid w:val="00660E57"/>
    <w:rsid w:val="006804BB"/>
    <w:rsid w:val="0068127E"/>
    <w:rsid w:val="0068376E"/>
    <w:rsid w:val="00696647"/>
    <w:rsid w:val="00696971"/>
    <w:rsid w:val="006A7242"/>
    <w:rsid w:val="006B2707"/>
    <w:rsid w:val="006B2FE5"/>
    <w:rsid w:val="006B6F2A"/>
    <w:rsid w:val="006C5DE6"/>
    <w:rsid w:val="006C604B"/>
    <w:rsid w:val="006C6AB9"/>
    <w:rsid w:val="006F197B"/>
    <w:rsid w:val="00704CE9"/>
    <w:rsid w:val="007228D9"/>
    <w:rsid w:val="00722B28"/>
    <w:rsid w:val="007343C7"/>
    <w:rsid w:val="00735356"/>
    <w:rsid w:val="00745F7E"/>
    <w:rsid w:val="007469CC"/>
    <w:rsid w:val="00755E4E"/>
    <w:rsid w:val="007565CC"/>
    <w:rsid w:val="00760AF1"/>
    <w:rsid w:val="00781C3F"/>
    <w:rsid w:val="007842E5"/>
    <w:rsid w:val="007B1048"/>
    <w:rsid w:val="007C0FCA"/>
    <w:rsid w:val="007C3A47"/>
    <w:rsid w:val="007C613E"/>
    <w:rsid w:val="007D235F"/>
    <w:rsid w:val="007F0938"/>
    <w:rsid w:val="007F384B"/>
    <w:rsid w:val="00800680"/>
    <w:rsid w:val="00815164"/>
    <w:rsid w:val="00832EF6"/>
    <w:rsid w:val="00836140"/>
    <w:rsid w:val="008400DE"/>
    <w:rsid w:val="0084103F"/>
    <w:rsid w:val="00857F90"/>
    <w:rsid w:val="008608CC"/>
    <w:rsid w:val="008678E3"/>
    <w:rsid w:val="0087189B"/>
    <w:rsid w:val="00876389"/>
    <w:rsid w:val="008913EF"/>
    <w:rsid w:val="008A0A49"/>
    <w:rsid w:val="008E4225"/>
    <w:rsid w:val="00910EB7"/>
    <w:rsid w:val="0091435F"/>
    <w:rsid w:val="00922BAB"/>
    <w:rsid w:val="00932AB5"/>
    <w:rsid w:val="009341A7"/>
    <w:rsid w:val="009363BE"/>
    <w:rsid w:val="009451E3"/>
    <w:rsid w:val="00957BC8"/>
    <w:rsid w:val="0096005B"/>
    <w:rsid w:val="009836C8"/>
    <w:rsid w:val="00986357"/>
    <w:rsid w:val="00991582"/>
    <w:rsid w:val="009A0D1B"/>
    <w:rsid w:val="009A3CDE"/>
    <w:rsid w:val="009B3F6B"/>
    <w:rsid w:val="009B4A8D"/>
    <w:rsid w:val="009B62D9"/>
    <w:rsid w:val="009C0B68"/>
    <w:rsid w:val="009C0C57"/>
    <w:rsid w:val="009C2484"/>
    <w:rsid w:val="009C59E6"/>
    <w:rsid w:val="009D3B48"/>
    <w:rsid w:val="009E3E24"/>
    <w:rsid w:val="009E6354"/>
    <w:rsid w:val="009F6153"/>
    <w:rsid w:val="00A05063"/>
    <w:rsid w:val="00A11664"/>
    <w:rsid w:val="00A17C92"/>
    <w:rsid w:val="00A2149C"/>
    <w:rsid w:val="00A26DFE"/>
    <w:rsid w:val="00A30E67"/>
    <w:rsid w:val="00A36C1F"/>
    <w:rsid w:val="00A41C21"/>
    <w:rsid w:val="00A43CC7"/>
    <w:rsid w:val="00A50BEB"/>
    <w:rsid w:val="00A55CEF"/>
    <w:rsid w:val="00A72B78"/>
    <w:rsid w:val="00A73CD7"/>
    <w:rsid w:val="00A740F9"/>
    <w:rsid w:val="00A80CA5"/>
    <w:rsid w:val="00A8198B"/>
    <w:rsid w:val="00A85985"/>
    <w:rsid w:val="00A96751"/>
    <w:rsid w:val="00AD4D09"/>
    <w:rsid w:val="00AD6AD7"/>
    <w:rsid w:val="00AE604A"/>
    <w:rsid w:val="00AF7E84"/>
    <w:rsid w:val="00B029C9"/>
    <w:rsid w:val="00B2320E"/>
    <w:rsid w:val="00B233D8"/>
    <w:rsid w:val="00B47DD0"/>
    <w:rsid w:val="00B57381"/>
    <w:rsid w:val="00B83FA9"/>
    <w:rsid w:val="00B91A6F"/>
    <w:rsid w:val="00B91D05"/>
    <w:rsid w:val="00B943F1"/>
    <w:rsid w:val="00BA47CA"/>
    <w:rsid w:val="00BB3AF2"/>
    <w:rsid w:val="00BC3827"/>
    <w:rsid w:val="00BC4491"/>
    <w:rsid w:val="00BE4DDC"/>
    <w:rsid w:val="00BE619A"/>
    <w:rsid w:val="00BF356F"/>
    <w:rsid w:val="00C05D3D"/>
    <w:rsid w:val="00C13456"/>
    <w:rsid w:val="00C23506"/>
    <w:rsid w:val="00C24F9A"/>
    <w:rsid w:val="00C25E25"/>
    <w:rsid w:val="00C27EBD"/>
    <w:rsid w:val="00C3342E"/>
    <w:rsid w:val="00C52128"/>
    <w:rsid w:val="00C52D62"/>
    <w:rsid w:val="00C64CCB"/>
    <w:rsid w:val="00C716EE"/>
    <w:rsid w:val="00C747FE"/>
    <w:rsid w:val="00C80EF3"/>
    <w:rsid w:val="00C93036"/>
    <w:rsid w:val="00C93A63"/>
    <w:rsid w:val="00C941C1"/>
    <w:rsid w:val="00C944FE"/>
    <w:rsid w:val="00CB2CA5"/>
    <w:rsid w:val="00CC1C06"/>
    <w:rsid w:val="00CD2263"/>
    <w:rsid w:val="00CD623A"/>
    <w:rsid w:val="00CE32A2"/>
    <w:rsid w:val="00D11A8D"/>
    <w:rsid w:val="00D20CD0"/>
    <w:rsid w:val="00D23394"/>
    <w:rsid w:val="00D25CC6"/>
    <w:rsid w:val="00D31638"/>
    <w:rsid w:val="00D32ECE"/>
    <w:rsid w:val="00D35B73"/>
    <w:rsid w:val="00D44B0D"/>
    <w:rsid w:val="00D455B9"/>
    <w:rsid w:val="00D46563"/>
    <w:rsid w:val="00D52FD2"/>
    <w:rsid w:val="00D576C7"/>
    <w:rsid w:val="00D676D0"/>
    <w:rsid w:val="00D6775E"/>
    <w:rsid w:val="00D735E6"/>
    <w:rsid w:val="00D77AF0"/>
    <w:rsid w:val="00D80ACC"/>
    <w:rsid w:val="00D80D2B"/>
    <w:rsid w:val="00D81A9A"/>
    <w:rsid w:val="00DA4E51"/>
    <w:rsid w:val="00DB7955"/>
    <w:rsid w:val="00DD3ECE"/>
    <w:rsid w:val="00DD5D27"/>
    <w:rsid w:val="00DE0F1E"/>
    <w:rsid w:val="00DF04D1"/>
    <w:rsid w:val="00DF6557"/>
    <w:rsid w:val="00E431DD"/>
    <w:rsid w:val="00E543C3"/>
    <w:rsid w:val="00E824B6"/>
    <w:rsid w:val="00E84882"/>
    <w:rsid w:val="00E91441"/>
    <w:rsid w:val="00E9335C"/>
    <w:rsid w:val="00E9528B"/>
    <w:rsid w:val="00E9716F"/>
    <w:rsid w:val="00EA00CB"/>
    <w:rsid w:val="00EB18CA"/>
    <w:rsid w:val="00EE4B03"/>
    <w:rsid w:val="00EF0DE3"/>
    <w:rsid w:val="00EF40A1"/>
    <w:rsid w:val="00F00C32"/>
    <w:rsid w:val="00F12EC7"/>
    <w:rsid w:val="00F174C6"/>
    <w:rsid w:val="00F20B6D"/>
    <w:rsid w:val="00F30A41"/>
    <w:rsid w:val="00F36018"/>
    <w:rsid w:val="00F4028A"/>
    <w:rsid w:val="00F41A73"/>
    <w:rsid w:val="00F41C8A"/>
    <w:rsid w:val="00F447A2"/>
    <w:rsid w:val="00F464D9"/>
    <w:rsid w:val="00F6305E"/>
    <w:rsid w:val="00F64108"/>
    <w:rsid w:val="00F65319"/>
    <w:rsid w:val="00F65333"/>
    <w:rsid w:val="00F7056A"/>
    <w:rsid w:val="00F71780"/>
    <w:rsid w:val="00F7633E"/>
    <w:rsid w:val="00F821F6"/>
    <w:rsid w:val="00F90FFE"/>
    <w:rsid w:val="00F94F1C"/>
    <w:rsid w:val="00F96F51"/>
    <w:rsid w:val="00F97991"/>
    <w:rsid w:val="00FA572C"/>
    <w:rsid w:val="00FB3335"/>
    <w:rsid w:val="00FB422F"/>
    <w:rsid w:val="00FC2571"/>
    <w:rsid w:val="00FD6D05"/>
    <w:rsid w:val="00FF229F"/>
    <w:rsid w:val="00FF57EB"/>
    <w:rsid w:val="20F2C0F6"/>
    <w:rsid w:val="2231A0FB"/>
    <w:rsid w:val="319FB757"/>
    <w:rsid w:val="36FD525A"/>
    <w:rsid w:val="60B972A8"/>
    <w:rsid w:val="7BF3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88B06"/>
  <w15:chartTrackingRefBased/>
  <w15:docId w15:val="{F2C7E286-C51C-49B3-89DF-FEE4B74D5A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Arial Nova" w:hAnsi="Arial Nova" w:eastAsiaTheme="minorHAnsi" w:cstheme="minorBidi"/>
        <w:bCs/>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B7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a1ae6fbb-4e2c-48b7-8c7c-b89e86a0d2ee">
      <UserInfo>
        <DisplayName/>
        <AccountId xsi:nil="true"/>
        <AccountType/>
      </UserInfo>
    </SharedWithUsers>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C3874002-471A-4D92-84FE-E0371553C431}"/>
</file>

<file path=customXml/itemProps2.xml><?xml version="1.0" encoding="utf-8"?>
<ds:datastoreItem xmlns:ds="http://schemas.openxmlformats.org/officeDocument/2006/customXml" ds:itemID="{BAFFB036-E867-478F-8266-CA6B17F4DF07}"/>
</file>

<file path=customXml/itemProps3.xml><?xml version="1.0" encoding="utf-8"?>
<ds:datastoreItem xmlns:ds="http://schemas.openxmlformats.org/officeDocument/2006/customXml" ds:itemID="{81ADA046-07D6-404B-91F1-C61DE82F25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Gooch</dc:creator>
  <cp:keywords/>
  <dc:description/>
  <cp:lastModifiedBy>Houdek, Elizabeth</cp:lastModifiedBy>
  <cp:revision>330</cp:revision>
  <cp:lastPrinted>2020-12-10T18:25:00Z</cp:lastPrinted>
  <dcterms:created xsi:type="dcterms:W3CDTF">2020-12-07T18:37:00Z</dcterms:created>
  <dcterms:modified xsi:type="dcterms:W3CDTF">2021-04-27T19:56:20Z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y fmtid="{D5CDD505-2E9C-101B-9397-08002B2CF9AE}" pid="3" name="Order">
    <vt:r8>6463300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ies>
</file>