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713" w:rsidRPr="00611713" w:rsidRDefault="00611713" w:rsidP="00611713">
      <w:pPr>
        <w:pStyle w:val="juryinst"/>
        <w:rPr>
          <w:rStyle w:val="juryinstrChar"/>
          <w:b/>
        </w:rPr>
      </w:pPr>
      <w:bookmarkStart w:id="0" w:name="_Toc369587922"/>
      <w:r w:rsidRPr="00611713">
        <w:rPr>
          <w:rStyle w:val="juryinstrChar"/>
          <w:b/>
        </w:rPr>
        <w:t>2.12</w:t>
      </w:r>
      <w:proofErr w:type="gramStart"/>
      <w:r w:rsidRPr="00611713">
        <w:rPr>
          <w:rStyle w:val="juryinstrChar"/>
          <w:b/>
        </w:rPr>
        <w:t>.  Direct</w:t>
      </w:r>
      <w:proofErr w:type="gramEnd"/>
      <w:r w:rsidRPr="00611713">
        <w:rPr>
          <w:rStyle w:val="juryinstrChar"/>
          <w:b/>
        </w:rPr>
        <w:t>/ Circumstantial Evidence - Alternative 1</w:t>
      </w:r>
      <w:bookmarkEnd w:id="0"/>
    </w:p>
    <w:p w:rsidR="00611713" w:rsidRDefault="00611713" w:rsidP="00611713">
      <w:pPr>
        <w:rPr>
          <w:sz w:val="22"/>
          <w:szCs w:val="22"/>
        </w:rPr>
      </w:pPr>
    </w:p>
    <w:p w:rsidR="00611713" w:rsidRDefault="00611713" w:rsidP="00611713">
      <w:pPr>
        <w:rPr>
          <w:sz w:val="22"/>
          <w:szCs w:val="22"/>
        </w:rPr>
      </w:pPr>
      <w:r>
        <w:rPr>
          <w:sz w:val="22"/>
          <w:szCs w:val="22"/>
        </w:rPr>
        <w:tab/>
      </w:r>
    </w:p>
    <w:p w:rsidR="00611713" w:rsidRDefault="00611713" w:rsidP="00611713">
      <w:pPr>
        <w:rPr>
          <w:sz w:val="22"/>
          <w:szCs w:val="22"/>
        </w:rPr>
      </w:pPr>
    </w:p>
    <w:p w:rsidR="00611713" w:rsidRDefault="00611713" w:rsidP="00611713">
      <w:pPr>
        <w:ind w:firstLine="720"/>
        <w:rPr>
          <w:sz w:val="22"/>
          <w:szCs w:val="22"/>
        </w:rPr>
      </w:pPr>
      <w:r w:rsidRPr="00367AB7">
        <w:rPr>
          <w:sz w:val="22"/>
          <w:szCs w:val="22"/>
        </w:rPr>
        <w:t>The parties in this case may prove a fact by one of two types of evidence--direct eviden</w:t>
      </w:r>
      <w:r>
        <w:rPr>
          <w:sz w:val="22"/>
          <w:szCs w:val="22"/>
        </w:rPr>
        <w:t>ce or circumstantial evidence.</w:t>
      </w:r>
    </w:p>
    <w:p w:rsidR="00611713" w:rsidRDefault="00611713" w:rsidP="00611713">
      <w:pPr>
        <w:ind w:firstLine="720"/>
        <w:rPr>
          <w:sz w:val="22"/>
          <w:szCs w:val="22"/>
        </w:rPr>
      </w:pPr>
    </w:p>
    <w:p w:rsidR="00611713" w:rsidRDefault="00611713" w:rsidP="00611713">
      <w:pPr>
        <w:ind w:firstLine="720"/>
        <w:rPr>
          <w:sz w:val="22"/>
          <w:szCs w:val="22"/>
        </w:rPr>
      </w:pPr>
      <w:r w:rsidRPr="00367AB7">
        <w:rPr>
          <w:sz w:val="22"/>
          <w:szCs w:val="22"/>
        </w:rPr>
        <w:t>Direct evidence is direct proof of a fact. Circumstantial evidenc</w:t>
      </w:r>
      <w:r>
        <w:rPr>
          <w:sz w:val="22"/>
          <w:szCs w:val="22"/>
        </w:rPr>
        <w:t xml:space="preserve">e is indirect proof of a fact.  </w:t>
      </w:r>
    </w:p>
    <w:p w:rsidR="00611713" w:rsidRDefault="00611713" w:rsidP="00611713">
      <w:pPr>
        <w:ind w:firstLine="720"/>
        <w:rPr>
          <w:sz w:val="22"/>
          <w:szCs w:val="22"/>
        </w:rPr>
      </w:pPr>
    </w:p>
    <w:p w:rsidR="00611713" w:rsidRDefault="00611713" w:rsidP="00611713">
      <w:pPr>
        <w:ind w:firstLine="720"/>
        <w:rPr>
          <w:sz w:val="22"/>
          <w:szCs w:val="22"/>
        </w:rPr>
      </w:pPr>
      <w:r w:rsidRPr="00367AB7">
        <w:rPr>
          <w:sz w:val="22"/>
          <w:szCs w:val="22"/>
        </w:rPr>
        <w:t>For example, direct evidence that an animal ran in the snow might be the testimony of someone who actually saw the animal run in the snow. On the other hand, circumstantial evidence that an animal ran in the snow might be the testimony of someone who only saw the an</w:t>
      </w:r>
      <w:r>
        <w:rPr>
          <w:sz w:val="22"/>
          <w:szCs w:val="22"/>
        </w:rPr>
        <w:t xml:space="preserve">imal's tracks in the snow. </w:t>
      </w:r>
    </w:p>
    <w:p w:rsidR="00611713" w:rsidRDefault="00611713" w:rsidP="00611713">
      <w:pPr>
        <w:ind w:firstLine="720"/>
        <w:rPr>
          <w:sz w:val="22"/>
          <w:szCs w:val="22"/>
        </w:rPr>
      </w:pPr>
    </w:p>
    <w:p w:rsidR="00611713" w:rsidRDefault="00611713" w:rsidP="00611713">
      <w:pPr>
        <w:ind w:firstLine="720"/>
        <w:rPr>
          <w:sz w:val="22"/>
          <w:szCs w:val="22"/>
        </w:rPr>
      </w:pPr>
      <w:r w:rsidRPr="00367AB7">
        <w:rPr>
          <w:sz w:val="22"/>
          <w:szCs w:val="22"/>
        </w:rPr>
        <w:t>It is not necessary that any fact be proved by direct evidence. You may consider both direct evidence and circumstantial evidence as proof.</w:t>
      </w:r>
    </w:p>
    <w:p w:rsidR="00611713" w:rsidRDefault="00611713" w:rsidP="00611713">
      <w:pPr>
        <w:rPr>
          <w:sz w:val="22"/>
          <w:szCs w:val="22"/>
        </w:rPr>
      </w:pPr>
    </w:p>
    <w:p w:rsidR="00611713" w:rsidRDefault="00611713" w:rsidP="00611713">
      <w:pPr>
        <w:ind w:firstLine="720"/>
        <w:rPr>
          <w:sz w:val="22"/>
          <w:szCs w:val="22"/>
        </w:rPr>
      </w:pPr>
      <w:r>
        <w:rPr>
          <w:sz w:val="22"/>
          <w:szCs w:val="22"/>
        </w:rPr>
        <w:t xml:space="preserve">However, circumstantial evidence alone will not justify a finding of guilty unless the circumstances are entirely consistent with the Accused's guilt, wholly inconsistent with any reasonable theory of the Accused's innocence, and are so convincing as to exclude a reasonable doubt of the Accused's guilt.  In determining whether the guilt of the Accused is proven beyond a reasonable doubt, you should require that the proof be </w:t>
      </w:r>
      <w:proofErr w:type="gramStart"/>
      <w:r>
        <w:rPr>
          <w:sz w:val="22"/>
          <w:szCs w:val="22"/>
        </w:rPr>
        <w:t>so</w:t>
      </w:r>
      <w:proofErr w:type="gramEnd"/>
      <w:r>
        <w:rPr>
          <w:sz w:val="22"/>
          <w:szCs w:val="22"/>
        </w:rPr>
        <w:t xml:space="preserve"> conclusive and sure as to exclude every reasonable theory of innocence.</w:t>
      </w:r>
    </w:p>
    <w:p w:rsidR="00611713" w:rsidRDefault="00611713" w:rsidP="00611713">
      <w:pPr>
        <w:rPr>
          <w:sz w:val="22"/>
          <w:szCs w:val="22"/>
        </w:rPr>
      </w:pPr>
    </w:p>
    <w:p w:rsidR="00611713" w:rsidRDefault="00611713" w:rsidP="00611713">
      <w:pPr>
        <w:rPr>
          <w:sz w:val="22"/>
          <w:szCs w:val="22"/>
        </w:rPr>
      </w:pPr>
    </w:p>
    <w:p w:rsidR="00611713" w:rsidRDefault="00611713" w:rsidP="00611713">
      <w:pPr>
        <w:rPr>
          <w:sz w:val="22"/>
          <w:szCs w:val="22"/>
        </w:rPr>
      </w:pPr>
      <w:r>
        <w:rPr>
          <w:b/>
          <w:bCs/>
          <w:sz w:val="22"/>
          <w:szCs w:val="22"/>
        </w:rPr>
        <w:t xml:space="preserve">Authority: </w:t>
      </w:r>
      <w:r>
        <w:rPr>
          <w:sz w:val="22"/>
          <w:szCs w:val="22"/>
        </w:rPr>
        <w:t xml:space="preserve">Indiana Pattern Jury Instruction 12.01, modified by the editor to include language regarding inferences, in reliance upon </w:t>
      </w:r>
      <w:r w:rsidRPr="00C4221C">
        <w:rPr>
          <w:i/>
          <w:sz w:val="22"/>
          <w:szCs w:val="22"/>
        </w:rPr>
        <w:t>Hampton v. State</w:t>
      </w:r>
      <w:r>
        <w:rPr>
          <w:sz w:val="22"/>
          <w:szCs w:val="22"/>
        </w:rPr>
        <w:t>, 961 N.E.2d 480, 484 (Ind. 201</w:t>
      </w:r>
      <w:r w:rsidR="00863A63">
        <w:rPr>
          <w:sz w:val="22"/>
          <w:szCs w:val="22"/>
        </w:rPr>
        <w:t>2</w:t>
      </w:r>
      <w:bookmarkStart w:id="1" w:name="_GoBack"/>
      <w:bookmarkEnd w:id="1"/>
      <w:r>
        <w:rPr>
          <w:sz w:val="22"/>
          <w:szCs w:val="22"/>
        </w:rPr>
        <w:t xml:space="preserve">) and </w:t>
      </w:r>
      <w:r>
        <w:rPr>
          <w:i/>
          <w:iCs/>
          <w:sz w:val="22"/>
          <w:szCs w:val="22"/>
        </w:rPr>
        <w:t>Hall v. State</w:t>
      </w:r>
      <w:r>
        <w:rPr>
          <w:sz w:val="22"/>
          <w:szCs w:val="22"/>
        </w:rPr>
        <w:t xml:space="preserve"> (1980), 273 Ind. 507, 405 N.E.2d 530, 534.  Where evidence of guilt is entirely circumstantial, the accused is entitled to an instruction that the evidence must exclude every reasonable hypothesis of innocence. </w:t>
      </w:r>
      <w:r>
        <w:rPr>
          <w:i/>
          <w:iCs/>
          <w:sz w:val="22"/>
          <w:szCs w:val="22"/>
        </w:rPr>
        <w:t>Gambill v. State</w:t>
      </w:r>
      <w:r>
        <w:rPr>
          <w:sz w:val="22"/>
          <w:szCs w:val="22"/>
        </w:rPr>
        <w:t xml:space="preserve">, 675 N.E.2d 668 (Ind. 1996); </w:t>
      </w:r>
      <w:r>
        <w:rPr>
          <w:i/>
          <w:iCs/>
          <w:sz w:val="22"/>
          <w:szCs w:val="22"/>
        </w:rPr>
        <w:t>Roach v. State</w:t>
      </w:r>
      <w:r>
        <w:rPr>
          <w:sz w:val="22"/>
          <w:szCs w:val="22"/>
        </w:rPr>
        <w:t>, 451 N.E.2d 388 (Ind.Ct.App. 1983).</w:t>
      </w:r>
    </w:p>
    <w:p w:rsidR="00611713" w:rsidRDefault="00611713" w:rsidP="00611713">
      <w:pPr>
        <w:rPr>
          <w:sz w:val="22"/>
          <w:szCs w:val="22"/>
        </w:rPr>
      </w:pPr>
    </w:p>
    <w:p w:rsidR="00611713" w:rsidRDefault="00611713" w:rsidP="00611713">
      <w:pPr>
        <w:rPr>
          <w:sz w:val="22"/>
          <w:szCs w:val="22"/>
        </w:rPr>
      </w:pPr>
      <w:r>
        <w:rPr>
          <w:b/>
          <w:bCs/>
          <w:sz w:val="22"/>
          <w:szCs w:val="22"/>
        </w:rPr>
        <w:t>Note:</w:t>
      </w:r>
      <w:r>
        <w:rPr>
          <w:sz w:val="22"/>
          <w:szCs w:val="22"/>
        </w:rPr>
        <w:t xml:space="preserve"> Indiana Pattern Jury Instruction 12.01, unedited, is included here as Instruction 2.12, Alternative Two (see next page).</w:t>
      </w:r>
    </w:p>
    <w:p w:rsidR="0095525C" w:rsidRDefault="0095525C" w:rsidP="00611713"/>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EE891778-7FA2-4347-9A57-CEEF7061BAD9}"/>
  </w:docVars>
  <w:rsids>
    <w:rsidRoot w:val="00611713"/>
    <w:rsid w:val="00611713"/>
    <w:rsid w:val="00863A63"/>
    <w:rsid w:val="0095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6B725-6424-495A-BEED-88F372C5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7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
    <w:name w:val="juryinst"/>
    <w:link w:val="juryinstChar"/>
    <w:rsid w:val="00611713"/>
    <w:pPr>
      <w:widowControl w:val="0"/>
      <w:autoSpaceDE w:val="0"/>
      <w:autoSpaceDN w:val="0"/>
      <w:adjustRightInd w:val="0"/>
      <w:spacing w:after="0" w:line="240" w:lineRule="auto"/>
      <w:jc w:val="center"/>
    </w:pPr>
    <w:rPr>
      <w:rFonts w:ascii="Times New Roman" w:eastAsia="Times New Roman" w:hAnsi="Times New Roman" w:cs="Times New Roman"/>
      <w:b/>
      <w:bCs/>
      <w:sz w:val="26"/>
      <w:szCs w:val="26"/>
    </w:rPr>
  </w:style>
  <w:style w:type="paragraph" w:customStyle="1" w:styleId="juryinstr">
    <w:name w:val="jury instr"/>
    <w:basedOn w:val="juryinst"/>
    <w:link w:val="juryinstrChar"/>
    <w:qFormat/>
    <w:rsid w:val="00611713"/>
    <w:rPr>
      <w:rFonts w:ascii="Cambria" w:hAnsi="Cambria"/>
      <w:sz w:val="28"/>
      <w:szCs w:val="28"/>
    </w:rPr>
  </w:style>
  <w:style w:type="character" w:customStyle="1" w:styleId="juryinstChar">
    <w:name w:val="juryinst Char"/>
    <w:basedOn w:val="DefaultParagraphFont"/>
    <w:link w:val="juryinst"/>
    <w:rsid w:val="00611713"/>
    <w:rPr>
      <w:rFonts w:ascii="Times New Roman" w:eastAsia="Times New Roman" w:hAnsi="Times New Roman" w:cs="Times New Roman"/>
      <w:b/>
      <w:bCs/>
      <w:sz w:val="26"/>
      <w:szCs w:val="26"/>
    </w:rPr>
  </w:style>
  <w:style w:type="character" w:customStyle="1" w:styleId="juryinstrChar">
    <w:name w:val="jury instr Char"/>
    <w:basedOn w:val="juryinstChar"/>
    <w:link w:val="juryinstr"/>
    <w:rsid w:val="00611713"/>
    <w:rPr>
      <w:rFonts w:ascii="Cambria" w:eastAsia="Times New Roman"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95437B1A-CAA2-442B-AA94-69B08D9F420A}"/>
</file>

<file path=customXml/itemProps2.xml><?xml version="1.0" encoding="utf-8"?>
<ds:datastoreItem xmlns:ds="http://schemas.openxmlformats.org/officeDocument/2006/customXml" ds:itemID="{7B1EC686-E38F-478D-BD93-780BAA6AE28D}"/>
</file>

<file path=customXml/itemProps3.xml><?xml version="1.0" encoding="utf-8"?>
<ds:datastoreItem xmlns:ds="http://schemas.openxmlformats.org/officeDocument/2006/customXml" ds:itemID="{43B751C9-417B-45AE-A036-41B25A9987F0}"/>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Company>Microsoft</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Schaney, Toni</cp:lastModifiedBy>
  <cp:revision>2</cp:revision>
  <dcterms:created xsi:type="dcterms:W3CDTF">2014-03-05T15:24:00Z</dcterms:created>
  <dcterms:modified xsi:type="dcterms:W3CDTF">2016-08-26T19:02:00Z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