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EB7E3" w14:textId="77777777" w:rsidR="006B4D0A" w:rsidRPr="009F6520" w:rsidRDefault="006B4D0A" w:rsidP="006B4D0A">
      <w:pPr>
        <w:pStyle w:val="juryinstr"/>
      </w:pPr>
      <w:bookmarkStart w:id="0" w:name="_Toc369587911"/>
      <w:r w:rsidRPr="009F6520">
        <w:t>2.1.  Presumption of Innocence - Burden of Proof</w:t>
      </w:r>
      <w:bookmarkEnd w:id="0"/>
      <w:r w:rsidRPr="009F6520">
        <w:cr/>
      </w:r>
    </w:p>
    <w:p w14:paraId="51A12B86" w14:textId="77777777" w:rsidR="006B4D0A" w:rsidRDefault="006B4D0A" w:rsidP="006B4D0A">
      <w:pPr>
        <w:rPr>
          <w:sz w:val="22"/>
          <w:szCs w:val="22"/>
        </w:rPr>
      </w:pPr>
    </w:p>
    <w:p w14:paraId="562DBF60" w14:textId="7A455055" w:rsidR="00483B7C" w:rsidRPr="00483B7C" w:rsidRDefault="00483B7C" w:rsidP="00483B7C">
      <w:pPr>
        <w:widowControl/>
        <w:autoSpaceDE/>
        <w:autoSpaceDN/>
        <w:adjustRightInd/>
        <w:ind w:firstLine="720"/>
        <w:rPr>
          <w:sz w:val="22"/>
          <w:szCs w:val="22"/>
          <w:rPrChange w:id="1" w:author="Michael Wilson" w:date="2019-03-18T09:03:00Z">
            <w:rPr>
              <w:sz w:val="24"/>
              <w:szCs w:val="24"/>
            </w:rPr>
          </w:rPrChange>
        </w:rPr>
      </w:pPr>
      <w:r w:rsidRPr="00483B7C">
        <w:rPr>
          <w:sz w:val="22"/>
          <w:szCs w:val="22"/>
          <w:rPrChange w:id="2" w:author="Michael Wilson" w:date="2019-03-18T09:03:00Z">
            <w:rPr>
              <w:sz w:val="24"/>
              <w:szCs w:val="24"/>
            </w:rPr>
          </w:rPrChange>
        </w:rPr>
        <w:t>Under the law of this State, a person charged with a crime is presumed to be innocent. This presumption of innocence continues in favor of the Accused throughout each stage of the trial and you should fit the evidence presented to the presumption that the Accused is innocent, if you can reasonably do so.</w:t>
      </w:r>
      <w:r w:rsidRPr="00483B7C">
        <w:rPr>
          <w:sz w:val="22"/>
          <w:szCs w:val="22"/>
          <w:rPrChange w:id="3" w:author="Michael Wilson" w:date="2019-03-18T09:03:00Z">
            <w:rPr>
              <w:sz w:val="24"/>
              <w:szCs w:val="24"/>
            </w:rPr>
          </w:rPrChange>
        </w:rPr>
        <w:br/>
        <w:t> </w:t>
      </w:r>
    </w:p>
    <w:p w14:paraId="34139CF1" w14:textId="77777777" w:rsidR="00483B7C" w:rsidRPr="00483B7C" w:rsidRDefault="00483B7C" w:rsidP="00483B7C">
      <w:pPr>
        <w:widowControl/>
        <w:autoSpaceDE/>
        <w:autoSpaceDN/>
        <w:adjustRightInd/>
        <w:ind w:firstLine="720"/>
        <w:rPr>
          <w:sz w:val="22"/>
          <w:szCs w:val="22"/>
          <w:rPrChange w:id="4" w:author="Michael Wilson" w:date="2019-03-18T09:03:00Z">
            <w:rPr>
              <w:sz w:val="24"/>
              <w:szCs w:val="24"/>
            </w:rPr>
          </w:rPrChange>
        </w:rPr>
      </w:pPr>
      <w:r w:rsidRPr="00483B7C">
        <w:rPr>
          <w:sz w:val="22"/>
          <w:szCs w:val="22"/>
          <w:rPrChange w:id="5" w:author="Michael Wilson" w:date="2019-03-18T09:03:00Z">
            <w:rPr>
              <w:sz w:val="24"/>
              <w:szCs w:val="24"/>
            </w:rPr>
          </w:rPrChange>
        </w:rPr>
        <w:t>If the evidence lends itself to two reasonable interpretations, you must choose the interpretation consistent with the defendant's innocence. If there is only one reasonable interpretation, you must accept that interpretation and consider the evidence with all the other evidence in the case in making your decision.</w:t>
      </w:r>
      <w:r w:rsidRPr="00483B7C">
        <w:rPr>
          <w:sz w:val="22"/>
          <w:szCs w:val="22"/>
          <w:rPrChange w:id="6" w:author="Michael Wilson" w:date="2019-03-18T09:03:00Z">
            <w:rPr>
              <w:sz w:val="24"/>
              <w:szCs w:val="24"/>
            </w:rPr>
          </w:rPrChange>
        </w:rPr>
        <w:br/>
        <w:t> </w:t>
      </w:r>
    </w:p>
    <w:p w14:paraId="6F78A5EF" w14:textId="77777777" w:rsidR="00483B7C" w:rsidRPr="00483B7C" w:rsidRDefault="00483B7C" w:rsidP="00483B7C">
      <w:pPr>
        <w:widowControl/>
        <w:autoSpaceDE/>
        <w:autoSpaceDN/>
        <w:adjustRightInd/>
        <w:ind w:firstLine="720"/>
        <w:rPr>
          <w:sz w:val="22"/>
          <w:szCs w:val="22"/>
          <w:rPrChange w:id="7" w:author="Michael Wilson" w:date="2019-03-18T09:03:00Z">
            <w:rPr>
              <w:sz w:val="24"/>
              <w:szCs w:val="24"/>
            </w:rPr>
          </w:rPrChange>
        </w:rPr>
      </w:pPr>
      <w:r w:rsidRPr="00483B7C">
        <w:rPr>
          <w:sz w:val="22"/>
          <w:szCs w:val="22"/>
          <w:rPrChange w:id="8" w:author="Michael Wilson" w:date="2019-03-18T09:03:00Z">
            <w:rPr>
              <w:sz w:val="24"/>
              <w:szCs w:val="24"/>
            </w:rPr>
          </w:rPrChange>
        </w:rPr>
        <w:t>To overcome the presumption of innocence, the State must prove the Accused guilty of each element of the crime charged, beyond a reasonable doubt.</w:t>
      </w:r>
      <w:r w:rsidRPr="00483B7C">
        <w:rPr>
          <w:sz w:val="22"/>
          <w:szCs w:val="22"/>
          <w:rPrChange w:id="9" w:author="Michael Wilson" w:date="2019-03-18T09:03:00Z">
            <w:rPr>
              <w:sz w:val="24"/>
              <w:szCs w:val="24"/>
            </w:rPr>
          </w:rPrChange>
        </w:rPr>
        <w:br/>
        <w:t> </w:t>
      </w:r>
    </w:p>
    <w:p w14:paraId="635AAC26" w14:textId="77777777" w:rsidR="00483B7C" w:rsidRPr="00483B7C" w:rsidRDefault="00483B7C" w:rsidP="00483B7C">
      <w:pPr>
        <w:widowControl/>
        <w:autoSpaceDE/>
        <w:autoSpaceDN/>
        <w:adjustRightInd/>
        <w:ind w:firstLine="720"/>
        <w:rPr>
          <w:sz w:val="22"/>
          <w:szCs w:val="22"/>
          <w:rPrChange w:id="10" w:author="Michael Wilson" w:date="2019-03-18T09:03:00Z">
            <w:rPr>
              <w:sz w:val="24"/>
              <w:szCs w:val="24"/>
            </w:rPr>
          </w:rPrChange>
        </w:rPr>
      </w:pPr>
      <w:r w:rsidRPr="00483B7C">
        <w:rPr>
          <w:sz w:val="22"/>
          <w:szCs w:val="22"/>
          <w:rPrChange w:id="11" w:author="Michael Wilson" w:date="2019-03-18T09:03:00Z">
            <w:rPr>
              <w:sz w:val="24"/>
              <w:szCs w:val="24"/>
            </w:rPr>
          </w:rPrChange>
        </w:rPr>
        <w:t>The Accused is not required to present any evidence to prove his innocence or to prove or explain anything.</w:t>
      </w:r>
      <w:r w:rsidRPr="00483B7C">
        <w:rPr>
          <w:sz w:val="22"/>
          <w:szCs w:val="22"/>
          <w:rPrChange w:id="12" w:author="Michael Wilson" w:date="2019-03-18T09:03:00Z">
            <w:rPr>
              <w:sz w:val="24"/>
              <w:szCs w:val="24"/>
            </w:rPr>
          </w:rPrChange>
        </w:rPr>
        <w:br/>
      </w:r>
    </w:p>
    <w:p w14:paraId="7C65ABEF" w14:textId="5A3348A5" w:rsidR="00483B7C" w:rsidRPr="00483B7C" w:rsidRDefault="00483B7C">
      <w:pPr>
        <w:rPr>
          <w:sz w:val="22"/>
          <w:szCs w:val="22"/>
          <w:rPrChange w:id="13" w:author="Michael Wilson" w:date="2019-03-18T09:03:00Z">
            <w:rPr>
              <w:sz w:val="24"/>
              <w:szCs w:val="24"/>
            </w:rPr>
          </w:rPrChange>
        </w:rPr>
        <w:pPrChange w:id="14" w:author="Michael Wilson" w:date="2019-03-18T09:03:00Z">
          <w:pPr>
            <w:widowControl/>
            <w:autoSpaceDE/>
            <w:autoSpaceDN/>
            <w:adjustRightInd/>
            <w:ind w:firstLine="720"/>
          </w:pPr>
        </w:pPrChange>
      </w:pPr>
      <w:r w:rsidRPr="00483B7C">
        <w:rPr>
          <w:b/>
          <w:bCs/>
          <w:sz w:val="22"/>
          <w:szCs w:val="22"/>
        </w:rPr>
        <w:t>Authority:</w:t>
      </w:r>
      <w:r w:rsidRPr="00483B7C">
        <w:rPr>
          <w:sz w:val="22"/>
          <w:szCs w:val="22"/>
        </w:rPr>
        <w:t xml:space="preserve"> IN Pattern Instruction No. 1.1300.</w:t>
      </w:r>
    </w:p>
    <w:p w14:paraId="0282C09B" w14:textId="288B205F" w:rsidR="00483B7C" w:rsidRPr="00483B7C" w:rsidRDefault="00483B7C" w:rsidP="00483B7C">
      <w:pPr>
        <w:widowControl/>
        <w:autoSpaceDE/>
        <w:autoSpaceDN/>
        <w:adjustRightInd/>
        <w:ind w:firstLine="720"/>
        <w:rPr>
          <w:sz w:val="22"/>
          <w:szCs w:val="22"/>
          <w:rPrChange w:id="15" w:author="Michael Wilson" w:date="2019-03-18T09:03:00Z">
            <w:rPr>
              <w:sz w:val="24"/>
              <w:szCs w:val="24"/>
            </w:rPr>
          </w:rPrChange>
        </w:rPr>
      </w:pPr>
      <w:r w:rsidRPr="00483B7C">
        <w:rPr>
          <w:sz w:val="22"/>
          <w:szCs w:val="22"/>
          <w:rPrChange w:id="16" w:author="Michael Wilson" w:date="2019-03-18T09:03:00Z">
            <w:rPr>
              <w:sz w:val="24"/>
              <w:szCs w:val="24"/>
            </w:rPr>
          </w:rPrChange>
        </w:rPr>
        <w:br/>
      </w:r>
      <w:r w:rsidRPr="00483B7C">
        <w:rPr>
          <w:b/>
          <w:bCs/>
          <w:sz w:val="22"/>
          <w:szCs w:val="22"/>
          <w:rPrChange w:id="17" w:author="Michael Wilson" w:date="2019-03-18T09:03:00Z">
            <w:rPr>
              <w:b/>
              <w:bCs/>
              <w:sz w:val="24"/>
              <w:szCs w:val="24"/>
            </w:rPr>
          </w:rPrChange>
        </w:rPr>
        <w:t>Comments</w:t>
      </w:r>
      <w:r w:rsidRPr="00483B7C">
        <w:rPr>
          <w:sz w:val="22"/>
          <w:szCs w:val="22"/>
          <w:rPrChange w:id="18" w:author="Michael Wilson" w:date="2019-03-18T09:03:00Z">
            <w:rPr>
              <w:sz w:val="24"/>
              <w:szCs w:val="24"/>
            </w:rPr>
          </w:rPrChange>
        </w:rPr>
        <w:t>  </w:t>
      </w:r>
    </w:p>
    <w:p w14:paraId="6D23BAAB" w14:textId="77777777" w:rsidR="00483B7C" w:rsidRPr="00483B7C" w:rsidRDefault="00483B7C">
      <w:pPr>
        <w:widowControl/>
        <w:autoSpaceDE/>
        <w:autoSpaceDN/>
        <w:adjustRightInd/>
        <w:ind w:firstLine="720"/>
        <w:rPr>
          <w:sz w:val="22"/>
          <w:szCs w:val="22"/>
          <w:rPrChange w:id="19" w:author="Michael Wilson" w:date="2019-03-18T09:03:00Z">
            <w:rPr>
              <w:sz w:val="24"/>
              <w:szCs w:val="24"/>
            </w:rPr>
          </w:rPrChange>
        </w:rPr>
      </w:pPr>
      <w:r w:rsidRPr="00483B7C">
        <w:rPr>
          <w:sz w:val="22"/>
          <w:szCs w:val="22"/>
          <w:rPrChange w:id="20" w:author="Michael Wilson" w:date="2019-03-18T09:03:00Z">
            <w:rPr>
              <w:sz w:val="24"/>
              <w:szCs w:val="24"/>
            </w:rPr>
          </w:rPrChange>
        </w:rPr>
        <w:t xml:space="preserve">This instruction has been modified to comply with </w:t>
      </w:r>
      <w:r w:rsidRPr="00483B7C">
        <w:rPr>
          <w:i/>
          <w:iCs/>
          <w:sz w:val="22"/>
          <w:szCs w:val="22"/>
          <w:rPrChange w:id="21" w:author="Michael Wilson" w:date="2019-03-18T09:03:00Z">
            <w:rPr>
              <w:i/>
              <w:iCs/>
              <w:sz w:val="24"/>
              <w:szCs w:val="24"/>
            </w:rPr>
          </w:rPrChange>
        </w:rPr>
        <w:t>McCowan v. State</w:t>
      </w:r>
      <w:r w:rsidRPr="00483B7C">
        <w:rPr>
          <w:sz w:val="22"/>
          <w:szCs w:val="22"/>
          <w:rPrChange w:id="22" w:author="Michael Wilson" w:date="2019-03-18T09:03:00Z">
            <w:rPr>
              <w:sz w:val="24"/>
              <w:szCs w:val="24"/>
            </w:rPr>
          </w:rPrChange>
        </w:rPr>
        <w:t xml:space="preserve">, 27 N.E.3d 760 (Ind. 2014). </w:t>
      </w:r>
      <w:r w:rsidRPr="00483B7C">
        <w:rPr>
          <w:i/>
          <w:iCs/>
          <w:sz w:val="22"/>
          <w:szCs w:val="22"/>
          <w:rPrChange w:id="23" w:author="Michael Wilson" w:date="2019-03-18T09:03:00Z">
            <w:rPr>
              <w:i/>
              <w:iCs/>
              <w:sz w:val="24"/>
              <w:szCs w:val="24"/>
            </w:rPr>
          </w:rPrChange>
        </w:rPr>
        <w:t>McCowan</w:t>
      </w:r>
      <w:r w:rsidRPr="00483B7C">
        <w:rPr>
          <w:sz w:val="22"/>
          <w:szCs w:val="22"/>
          <w:rPrChange w:id="24" w:author="Michael Wilson" w:date="2019-03-18T09:03:00Z">
            <w:rPr>
              <w:sz w:val="24"/>
              <w:szCs w:val="24"/>
            </w:rPr>
          </w:rPrChange>
        </w:rPr>
        <w:t xml:space="preserve"> holds that the second sentence of the first paragraph must be given if requested by the defense; the Instructions Committee believes that this sentence should always be given to avoid inadvertent reversible error and an issue for post-conviction relief.</w:t>
      </w:r>
    </w:p>
    <w:p w14:paraId="0EBD3374" w14:textId="77777777" w:rsidR="00483B7C" w:rsidRPr="00483B7C" w:rsidRDefault="00483B7C" w:rsidP="00483B7C">
      <w:pPr>
        <w:widowControl/>
        <w:autoSpaceDE/>
        <w:autoSpaceDN/>
        <w:adjustRightInd/>
        <w:rPr>
          <w:sz w:val="22"/>
          <w:szCs w:val="22"/>
          <w:rPrChange w:id="25" w:author="Michael Wilson" w:date="2019-03-18T09:03:00Z">
            <w:rPr>
              <w:sz w:val="24"/>
              <w:szCs w:val="24"/>
            </w:rPr>
          </w:rPrChange>
        </w:rPr>
      </w:pPr>
    </w:p>
    <w:p w14:paraId="0B6BA0F7" w14:textId="77777777" w:rsidR="00483B7C" w:rsidRPr="00483B7C" w:rsidRDefault="00483B7C" w:rsidP="00483B7C">
      <w:pPr>
        <w:widowControl/>
        <w:autoSpaceDE/>
        <w:autoSpaceDN/>
        <w:adjustRightInd/>
        <w:ind w:firstLine="720"/>
        <w:rPr>
          <w:sz w:val="22"/>
          <w:szCs w:val="22"/>
          <w:rPrChange w:id="26" w:author="Michael Wilson" w:date="2019-03-18T09:03:00Z">
            <w:rPr>
              <w:sz w:val="24"/>
              <w:szCs w:val="24"/>
            </w:rPr>
          </w:rPrChange>
        </w:rPr>
      </w:pPr>
      <w:r w:rsidRPr="00483B7C">
        <w:rPr>
          <w:i/>
          <w:iCs/>
          <w:sz w:val="22"/>
          <w:szCs w:val="22"/>
          <w:rPrChange w:id="27" w:author="Michael Wilson" w:date="2019-03-18T09:03:00Z">
            <w:rPr>
              <w:i/>
              <w:iCs/>
              <w:sz w:val="24"/>
              <w:szCs w:val="24"/>
            </w:rPr>
          </w:rPrChange>
        </w:rPr>
        <w:t>McCowan</w:t>
      </w:r>
      <w:r w:rsidRPr="00483B7C">
        <w:rPr>
          <w:sz w:val="22"/>
          <w:szCs w:val="22"/>
          <w:rPrChange w:id="28" w:author="Michael Wilson" w:date="2019-03-18T09:03:00Z">
            <w:rPr>
              <w:sz w:val="24"/>
              <w:szCs w:val="24"/>
            </w:rPr>
          </w:rPrChange>
        </w:rPr>
        <w:t xml:space="preserve"> also leaves it to the judge's discretion whether to use language equivalent to that in the second paragraph. The Instructions Committee believes that the language in the second paragraph will almost invariably apply under the three part standard of review for tendered criminal jury instructions and recommends its use in every case.</w:t>
      </w:r>
    </w:p>
    <w:p w14:paraId="7EDA92EB" w14:textId="77777777" w:rsidR="006B4D0A" w:rsidRDefault="006B4D0A" w:rsidP="00483B7C">
      <w:pPr>
        <w:rPr>
          <w:sz w:val="22"/>
          <w:szCs w:val="22"/>
        </w:rPr>
      </w:pPr>
    </w:p>
    <w:p w14:paraId="09DB4EB5" w14:textId="77777777" w:rsidR="006B4D0A" w:rsidRDefault="006B4D0A" w:rsidP="006B4D0A">
      <w:pPr>
        <w:rPr>
          <w:sz w:val="22"/>
          <w:szCs w:val="22"/>
        </w:rPr>
      </w:pPr>
    </w:p>
    <w:p w14:paraId="7D7683C2" w14:textId="77777777" w:rsidR="0095525C" w:rsidRDefault="0095525C">
      <w:bookmarkStart w:id="29" w:name="_GoBack"/>
      <w:bookmarkEnd w:id="29"/>
    </w:p>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Wilson">
    <w15:presenceInfo w15:providerId="Windows Live" w15:userId="268af5d41c5e4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0A14EE8C-F73A-4094-8B76-5409F2D126AA}"/>
  </w:docVars>
  <w:rsids>
    <w:rsidRoot w:val="006B4D0A"/>
    <w:rsid w:val="00483B7C"/>
    <w:rsid w:val="004E0A37"/>
    <w:rsid w:val="006B4D0A"/>
    <w:rsid w:val="0095525C"/>
    <w:rsid w:val="00C9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6C3A"/>
  <w15:docId w15:val="{CECFB558-9854-1547-A713-E47429AC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0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B4D0A"/>
    <w:rPr>
      <w:color w:val="0000FF"/>
      <w:u w:val="single"/>
    </w:rPr>
  </w:style>
  <w:style w:type="paragraph" w:customStyle="1" w:styleId="juryinstr">
    <w:name w:val="jury instr"/>
    <w:basedOn w:val="Normal"/>
    <w:link w:val="juryinstrChar"/>
    <w:qFormat/>
    <w:rsid w:val="006B4D0A"/>
    <w:pPr>
      <w:jc w:val="center"/>
    </w:pPr>
    <w:rPr>
      <w:rFonts w:ascii="Cambria" w:hAnsi="Cambria"/>
      <w:b/>
      <w:bCs/>
      <w:sz w:val="28"/>
      <w:szCs w:val="28"/>
    </w:rPr>
  </w:style>
  <w:style w:type="character" w:customStyle="1" w:styleId="juryinstrChar">
    <w:name w:val="jury instr Char"/>
    <w:basedOn w:val="DefaultParagraphFont"/>
    <w:link w:val="juryinstr"/>
    <w:rsid w:val="006B4D0A"/>
    <w:rPr>
      <w:rFonts w:ascii="Cambria" w:eastAsia="Times New Roman" w:hAnsi="Cambria" w:cs="Times New Roman"/>
      <w:b/>
      <w:bCs/>
      <w:sz w:val="28"/>
      <w:szCs w:val="28"/>
    </w:rPr>
  </w:style>
  <w:style w:type="paragraph" w:styleId="BalloonText">
    <w:name w:val="Balloon Text"/>
    <w:basedOn w:val="Normal"/>
    <w:link w:val="BalloonTextChar"/>
    <w:uiPriority w:val="99"/>
    <w:semiHidden/>
    <w:unhideWhenUsed/>
    <w:rsid w:val="00483B7C"/>
    <w:rPr>
      <w:sz w:val="18"/>
      <w:szCs w:val="18"/>
    </w:rPr>
  </w:style>
  <w:style w:type="character" w:customStyle="1" w:styleId="BalloonTextChar">
    <w:name w:val="Balloon Text Char"/>
    <w:basedOn w:val="DefaultParagraphFont"/>
    <w:link w:val="BalloonText"/>
    <w:uiPriority w:val="99"/>
    <w:semiHidden/>
    <w:rsid w:val="00483B7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716BE9E3-9910-4701-81D1-D6C7AB18E7ED}"/>
</file>

<file path=customXml/itemProps2.xml><?xml version="1.0" encoding="utf-8"?>
<ds:datastoreItem xmlns:ds="http://schemas.openxmlformats.org/officeDocument/2006/customXml" ds:itemID="{337301D3-DE0C-4B95-8B3D-2B07E7ACB891}"/>
</file>

<file path=customXml/itemProps3.xml><?xml version="1.0" encoding="utf-8"?>
<ds:datastoreItem xmlns:ds="http://schemas.openxmlformats.org/officeDocument/2006/customXml" ds:itemID="{51BC792A-7293-486C-B7AF-63D4D11285AC}"/>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1444</Characters>
  <Application>Microsoft Office Word</Application>
  <DocSecurity>0</DocSecurity>
  <Lines>12</Lines>
  <Paragraphs>3</Paragraphs>
  <ScaleCrop>false</ScaleCrop>
  <Company>Microsoft</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Houdek, Elizabeth</cp:lastModifiedBy>
  <cp:revision>4</cp:revision>
  <dcterms:created xsi:type="dcterms:W3CDTF">2019-03-18T13:03:00Z</dcterms:created>
  <dcterms:modified xsi:type="dcterms:W3CDTF">2019-05-28T14:56:00Z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