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8FF" w:rsidRPr="003404D2" w:rsidRDefault="002638FF" w:rsidP="002638FF">
      <w:pPr>
        <w:pStyle w:val="Heading1"/>
        <w:jc w:val="center"/>
        <w:rPr>
          <w:sz w:val="28"/>
          <w:szCs w:val="28"/>
        </w:rPr>
      </w:pPr>
      <w:bookmarkStart w:id="0" w:name="_Toc369588997"/>
      <w:r w:rsidRPr="003404D2">
        <w:rPr>
          <w:sz w:val="28"/>
          <w:szCs w:val="28"/>
        </w:rPr>
        <w:t>10.7.  Alibi</w:t>
      </w:r>
      <w:bookmarkEnd w:id="0"/>
    </w:p>
    <w:p w:rsidR="002638FF" w:rsidRDefault="002638FF" w:rsidP="002638FF">
      <w:pPr>
        <w:rPr>
          <w:sz w:val="22"/>
          <w:szCs w:val="22"/>
        </w:rPr>
      </w:pPr>
    </w:p>
    <w:p w:rsidR="00034657" w:rsidRDefault="00034657" w:rsidP="00034657">
      <w:pPr>
        <w:rPr>
          <w:sz w:val="22"/>
          <w:szCs w:val="22"/>
        </w:rPr>
      </w:pPr>
      <w:r w:rsidRPr="00A375D7">
        <w:rPr>
          <w:b/>
          <w:sz w:val="22"/>
          <w:szCs w:val="22"/>
        </w:rPr>
        <w:t>Note</w:t>
      </w:r>
      <w:r>
        <w:rPr>
          <w:sz w:val="22"/>
          <w:szCs w:val="22"/>
        </w:rPr>
        <w:t>: I.C. 35-36-4-1 provides for the alibi defense, however, the Indiana Pattern Instruction Committee has withdrawn the former pattern instruction, stating:</w:t>
      </w:r>
    </w:p>
    <w:p w:rsidR="00034657" w:rsidRDefault="00034657" w:rsidP="00034657">
      <w:pPr>
        <w:rPr>
          <w:sz w:val="22"/>
          <w:szCs w:val="22"/>
        </w:rPr>
      </w:pPr>
    </w:p>
    <w:p w:rsidR="00034657" w:rsidRDefault="00034657" w:rsidP="00034657">
      <w:pPr>
        <w:rPr>
          <w:sz w:val="22"/>
          <w:szCs w:val="22"/>
        </w:rPr>
      </w:pPr>
      <w:r>
        <w:rPr>
          <w:sz w:val="22"/>
          <w:szCs w:val="22"/>
        </w:rPr>
        <w:tab/>
        <w:t xml:space="preserve">The alibi instruction formerly appearing here has been withdrawn.  In reviewing the former instruction and considering the alibi defense, the Committee concluded that by far the most important aspect of alibi is the effect it may have in some cases of narrowing the time frame in which the State must prove the defendant committed the crime.  This narrowing effect does not necessarily occur whenever the defendant files a notice of alibi, but in cases where it does the State must prove the defendant was present at the time and place in its answer to defendant’s alibi notice:  . . . [T]he mere fact that a defendant raises an alibi defense does not necessarily make time an essential element of an offense.  However, where the State's answer to the notice of alibi and evidence points exclusively to a specific date, and the defendant presents a defense based on that date, the jury's consideration of the defendant's guilt should be restricted to that date.  </w:t>
      </w:r>
      <w:proofErr w:type="spellStart"/>
      <w:r>
        <w:rPr>
          <w:i/>
          <w:iCs/>
          <w:sz w:val="22"/>
          <w:szCs w:val="22"/>
        </w:rPr>
        <w:t>Sangsland</w:t>
      </w:r>
      <w:proofErr w:type="spellEnd"/>
      <w:r>
        <w:rPr>
          <w:i/>
          <w:iCs/>
          <w:sz w:val="22"/>
          <w:szCs w:val="22"/>
        </w:rPr>
        <w:t xml:space="preserve"> v. State</w:t>
      </w:r>
      <w:r>
        <w:rPr>
          <w:sz w:val="22"/>
          <w:szCs w:val="22"/>
        </w:rPr>
        <w:t xml:space="preserve">, 715 N.E.2d 875, 878-79 (Ind. Ct. App. 1999), </w:t>
      </w:r>
      <w:r>
        <w:rPr>
          <w:i/>
          <w:iCs/>
          <w:sz w:val="22"/>
          <w:szCs w:val="22"/>
        </w:rPr>
        <w:t>transfer denied</w:t>
      </w:r>
      <w:r>
        <w:rPr>
          <w:sz w:val="22"/>
          <w:szCs w:val="22"/>
        </w:rPr>
        <w:t>.</w:t>
      </w:r>
    </w:p>
    <w:p w:rsidR="00034657" w:rsidRDefault="00034657" w:rsidP="00034657">
      <w:pPr>
        <w:rPr>
          <w:sz w:val="22"/>
          <w:szCs w:val="22"/>
        </w:rPr>
      </w:pPr>
    </w:p>
    <w:p w:rsidR="00034657" w:rsidRDefault="00034657" w:rsidP="00034657">
      <w:pPr>
        <w:rPr>
          <w:sz w:val="22"/>
          <w:szCs w:val="22"/>
        </w:rPr>
      </w:pPr>
      <w:r>
        <w:rPr>
          <w:sz w:val="22"/>
          <w:szCs w:val="22"/>
        </w:rPr>
        <w:tab/>
        <w:t>If a conventional alibi instruction is requested and the judge decides one ought to be given, the Committee suggests that the term alibi not be used, first to avoid having to define it and second because it may have a negative connotation for the jury. The Committee also recommends that the instruction not use the term defense, because alibi is not an affirma</w:t>
      </w:r>
      <w:bookmarkStart w:id="1" w:name="_GoBack"/>
      <w:bookmarkEnd w:id="1"/>
      <w:r>
        <w:rPr>
          <w:sz w:val="22"/>
          <w:szCs w:val="22"/>
        </w:rPr>
        <w:t xml:space="preserve">tive defense but rather consists of evidence on defendant’s presence at the crime, an essential element the State has to prove beyond a reasonable doubt. </w:t>
      </w:r>
    </w:p>
    <w:p w:rsidR="00034657" w:rsidRDefault="00034657" w:rsidP="00034657">
      <w:pPr>
        <w:rPr>
          <w:sz w:val="22"/>
          <w:szCs w:val="22"/>
        </w:rPr>
      </w:pPr>
    </w:p>
    <w:p w:rsidR="00034657" w:rsidRDefault="00034657" w:rsidP="00034657">
      <w:pPr>
        <w:rPr>
          <w:sz w:val="22"/>
          <w:szCs w:val="22"/>
        </w:rPr>
      </w:pPr>
      <w:r>
        <w:rPr>
          <w:b/>
          <w:bCs/>
          <w:sz w:val="22"/>
          <w:szCs w:val="22"/>
        </w:rPr>
        <w:t>The Committee suggests the following instruction if an instruction is deemed appropriate</w:t>
      </w:r>
      <w:r>
        <w:rPr>
          <w:sz w:val="22"/>
          <w:szCs w:val="22"/>
        </w:rPr>
        <w:t>:</w:t>
      </w:r>
    </w:p>
    <w:p w:rsidR="00034657" w:rsidRDefault="00034657" w:rsidP="00034657">
      <w:pPr>
        <w:rPr>
          <w:sz w:val="22"/>
          <w:szCs w:val="22"/>
        </w:rPr>
      </w:pPr>
    </w:p>
    <w:p w:rsidR="00034657" w:rsidRDefault="00034657" w:rsidP="00034657">
      <w:pPr>
        <w:rPr>
          <w:sz w:val="22"/>
          <w:szCs w:val="22"/>
        </w:rPr>
      </w:pPr>
      <w:r>
        <w:rPr>
          <w:sz w:val="22"/>
          <w:szCs w:val="22"/>
        </w:rPr>
        <w:tab/>
        <w:t>You have heard evidence that at the time of the crime charged the accused was at a different place so remote or distant [or that such circumstances existed] that he could not have committed the crime.  The State must prove beyond a reasonable doubt the accused’s presence at the time and place of the crime.</w:t>
      </w:r>
    </w:p>
    <w:p w:rsidR="002638FF" w:rsidRDefault="002638FF" w:rsidP="002638FF">
      <w:p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6b5f7553-ee50-4e81-80e3-563317a4da0f"/>
  </w:docVars>
  <w:rsids>
    <w:rsidRoot w:val="002638FF"/>
    <w:rsid w:val="00034657"/>
    <w:rsid w:val="002638FF"/>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C7D85-2B3E-4C0C-A267-E850C793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38F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8F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5CDEC188-1208-4D9E-9683-ACC8CA8C7259}"/>
</file>

<file path=customXml/itemProps2.xml><?xml version="1.0" encoding="utf-8"?>
<ds:datastoreItem xmlns:ds="http://schemas.openxmlformats.org/officeDocument/2006/customXml" ds:itemID="{B7F3CD8A-3AFA-4E71-982B-2F33AD03256A}"/>
</file>

<file path=customXml/itemProps3.xml><?xml version="1.0" encoding="utf-8"?>
<ds:datastoreItem xmlns:ds="http://schemas.openxmlformats.org/officeDocument/2006/customXml" ds:itemID="{A933CA06-3FCC-4E01-A715-1F397B3869B1}"/>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2013-10-21T21:37:00Z</dcterms:created>
  <dcterms:modified xsi:type="dcterms:W3CDTF">2017-04-20T19:20:00Z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