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68" w:rsidRPr="00FD21F1" w:rsidRDefault="00273868" w:rsidP="00273868">
      <w:pPr>
        <w:pStyle w:val="Heading1"/>
        <w:jc w:val="center"/>
        <w:rPr>
          <w:sz w:val="28"/>
          <w:szCs w:val="28"/>
        </w:rPr>
      </w:pPr>
      <w:bookmarkStart w:id="0" w:name="_Toc369589032"/>
      <w:r w:rsidRPr="00FD21F1">
        <w:rPr>
          <w:sz w:val="28"/>
          <w:szCs w:val="28"/>
        </w:rPr>
        <w:t>10.</w:t>
      </w:r>
      <w:r w:rsidR="003A69FC">
        <w:rPr>
          <w:sz w:val="28"/>
          <w:szCs w:val="28"/>
        </w:rPr>
        <w:t>3</w:t>
      </w:r>
      <w:r w:rsidR="00120828">
        <w:rPr>
          <w:sz w:val="28"/>
          <w:szCs w:val="28"/>
        </w:rPr>
        <w:t>7</w:t>
      </w:r>
      <w:proofErr w:type="gramStart"/>
      <w:r w:rsidRPr="00FD21F1">
        <w:rPr>
          <w:sz w:val="28"/>
          <w:szCs w:val="28"/>
        </w:rPr>
        <w:t>.  Self</w:t>
      </w:r>
      <w:proofErr w:type="gramEnd"/>
      <w:r w:rsidRPr="00FD21F1">
        <w:rPr>
          <w:sz w:val="28"/>
          <w:szCs w:val="28"/>
        </w:rPr>
        <w:t>-Defense - Duty to Retreat</w:t>
      </w:r>
      <w:bookmarkEnd w:id="0"/>
    </w:p>
    <w:p w:rsidR="00273868" w:rsidRDefault="00273868" w:rsidP="00273868">
      <w:pPr>
        <w:numPr>
          <w:ilvl w:val="12"/>
          <w:numId w:val="0"/>
        </w:numPr>
        <w:rPr>
          <w:sz w:val="22"/>
          <w:szCs w:val="22"/>
        </w:rPr>
      </w:pPr>
    </w:p>
    <w:p w:rsidR="00120828" w:rsidRDefault="00120828" w:rsidP="00120828">
      <w:pPr>
        <w:numPr>
          <w:ilvl w:val="12"/>
          <w:numId w:val="0"/>
        </w:numPr>
        <w:rPr>
          <w:sz w:val="22"/>
          <w:szCs w:val="22"/>
        </w:rPr>
      </w:pPr>
      <w:r>
        <w:rPr>
          <w:sz w:val="22"/>
          <w:szCs w:val="22"/>
        </w:rPr>
        <w:tab/>
        <w:t>There is no duty on behalf of the accused to retreat prior to using force to protect himself or third parties.</w:t>
      </w:r>
    </w:p>
    <w:p w:rsidR="00120828" w:rsidRDefault="00120828" w:rsidP="00120828">
      <w:pPr>
        <w:numPr>
          <w:ilvl w:val="12"/>
          <w:numId w:val="0"/>
        </w:numPr>
        <w:rPr>
          <w:sz w:val="22"/>
          <w:szCs w:val="22"/>
        </w:rPr>
      </w:pPr>
    </w:p>
    <w:p w:rsidR="00120828" w:rsidRDefault="00120828" w:rsidP="00120828">
      <w:pPr>
        <w:numPr>
          <w:ilvl w:val="12"/>
          <w:numId w:val="0"/>
        </w:numPr>
        <w:rPr>
          <w:i/>
          <w:iCs/>
          <w:sz w:val="22"/>
          <w:szCs w:val="22"/>
        </w:rPr>
      </w:pPr>
      <w:r>
        <w:rPr>
          <w:b/>
          <w:bCs/>
          <w:sz w:val="22"/>
          <w:szCs w:val="22"/>
        </w:rPr>
        <w:t>Authority:</w:t>
      </w:r>
      <w:r>
        <w:rPr>
          <w:sz w:val="22"/>
          <w:szCs w:val="22"/>
        </w:rPr>
        <w:t xml:space="preserve"> </w:t>
      </w:r>
      <w:r>
        <w:rPr>
          <w:i/>
          <w:iCs/>
          <w:sz w:val="22"/>
          <w:szCs w:val="22"/>
        </w:rPr>
        <w:t>French v. State,</w:t>
      </w:r>
      <w:r>
        <w:rPr>
          <w:sz w:val="22"/>
          <w:szCs w:val="22"/>
        </w:rPr>
        <w:t xml:space="preserve"> 403 N.E.2d 821 (Ind. 1980);</w:t>
      </w:r>
      <w:r w:rsidRPr="00D145B4">
        <w:t xml:space="preserve"> </w:t>
      </w:r>
      <w:r w:rsidRPr="008D0679">
        <w:rPr>
          <w:i/>
          <w:sz w:val="22"/>
          <w:szCs w:val="22"/>
        </w:rPr>
        <w:t>see</w:t>
      </w:r>
      <w:r w:rsidRPr="00D145B4">
        <w:rPr>
          <w:sz w:val="22"/>
          <w:szCs w:val="22"/>
        </w:rPr>
        <w:t xml:space="preserve"> Washington v. State, 997 N.E.2d 342 (Ind. 2013) (the Court’s most recent discussion of the </w:t>
      </w:r>
      <w:r w:rsidRPr="008D0679">
        <w:rPr>
          <w:i/>
          <w:sz w:val="22"/>
          <w:szCs w:val="22"/>
        </w:rPr>
        <w:t>French</w:t>
      </w:r>
      <w:r w:rsidRPr="00D145B4">
        <w:rPr>
          <w:sz w:val="22"/>
          <w:szCs w:val="22"/>
        </w:rPr>
        <w:t xml:space="preserve"> instruction)</w:t>
      </w:r>
      <w:r>
        <w:rPr>
          <w:sz w:val="22"/>
          <w:szCs w:val="22"/>
        </w:rPr>
        <w:t>; IC 35-41-3-2.</w:t>
      </w:r>
    </w:p>
    <w:p w:rsidR="00120828" w:rsidRDefault="00120828" w:rsidP="00120828">
      <w:pPr>
        <w:numPr>
          <w:ilvl w:val="12"/>
          <w:numId w:val="0"/>
        </w:numPr>
        <w:rPr>
          <w:i/>
          <w:iCs/>
          <w:sz w:val="22"/>
          <w:szCs w:val="22"/>
        </w:rPr>
      </w:pPr>
    </w:p>
    <w:p w:rsidR="00120828" w:rsidRDefault="00120828" w:rsidP="00120828">
      <w:pPr>
        <w:numPr>
          <w:ilvl w:val="12"/>
          <w:numId w:val="0"/>
        </w:numPr>
        <w:rPr>
          <w:sz w:val="22"/>
          <w:szCs w:val="22"/>
        </w:rPr>
      </w:pPr>
      <w:r>
        <w:rPr>
          <w:b/>
          <w:bCs/>
          <w:sz w:val="22"/>
          <w:szCs w:val="22"/>
        </w:rPr>
        <w:t>Note:</w:t>
      </w:r>
      <w:r>
        <w:rPr>
          <w:sz w:val="22"/>
          <w:szCs w:val="22"/>
        </w:rPr>
        <w:t xml:space="preserve"> </w:t>
      </w:r>
      <w:r>
        <w:rPr>
          <w:i/>
          <w:iCs/>
          <w:sz w:val="22"/>
          <w:szCs w:val="22"/>
        </w:rPr>
        <w:t>Patton v. State</w:t>
      </w:r>
      <w:r>
        <w:rPr>
          <w:sz w:val="22"/>
          <w:szCs w:val="22"/>
        </w:rPr>
        <w:t xml:space="preserve">, 837 N.E.2d 576 (Ind.Ct.App. 2005) (trial court’s failure to instruct jury that defendant had no duty to retreat found harmless in light of overwhelming evidence of guilt and conflicting evidence of who was the aggressor). </w:t>
      </w:r>
    </w:p>
    <w:p w:rsidR="00120828" w:rsidRDefault="00120828" w:rsidP="00120828">
      <w:pPr>
        <w:numPr>
          <w:ilvl w:val="12"/>
          <w:numId w:val="0"/>
        </w:numPr>
        <w:rPr>
          <w:sz w:val="22"/>
          <w:szCs w:val="22"/>
        </w:rPr>
      </w:pPr>
    </w:p>
    <w:p w:rsidR="00120828" w:rsidRDefault="00120828" w:rsidP="00120828">
      <w:pPr>
        <w:numPr>
          <w:ilvl w:val="12"/>
          <w:numId w:val="0"/>
        </w:numPr>
        <w:rPr>
          <w:sz w:val="22"/>
          <w:szCs w:val="22"/>
        </w:rPr>
      </w:pPr>
      <w:r>
        <w:rPr>
          <w:b/>
          <w:bCs/>
          <w:sz w:val="22"/>
          <w:szCs w:val="22"/>
        </w:rPr>
        <w:t xml:space="preserve">Alternative instructions: </w:t>
      </w:r>
    </w:p>
    <w:p w:rsidR="00120828" w:rsidRDefault="00120828" w:rsidP="00120828">
      <w:pPr>
        <w:numPr>
          <w:ilvl w:val="12"/>
          <w:numId w:val="0"/>
        </w:numPr>
        <w:rPr>
          <w:sz w:val="22"/>
          <w:szCs w:val="22"/>
        </w:rPr>
      </w:pPr>
    </w:p>
    <w:p w:rsidR="00120828" w:rsidRDefault="00120828" w:rsidP="00120828">
      <w:pPr>
        <w:numPr>
          <w:ilvl w:val="12"/>
          <w:numId w:val="0"/>
        </w:numPr>
        <w:rPr>
          <w:sz w:val="22"/>
          <w:szCs w:val="22"/>
        </w:rPr>
      </w:pPr>
      <w:r>
        <w:rPr>
          <w:sz w:val="22"/>
          <w:szCs w:val="22"/>
        </w:rPr>
        <w:tab/>
        <w:t>When an accused is not the initial aggressor and he reasonably believes that he is in danger of serious bodily injury or death, there is no duty on behalf of the accused to retreat prior to using force to protect himself or third parties.</w:t>
      </w:r>
    </w:p>
    <w:p w:rsidR="00120828" w:rsidRDefault="00120828" w:rsidP="00120828">
      <w:pPr>
        <w:numPr>
          <w:ilvl w:val="12"/>
          <w:numId w:val="0"/>
        </w:numPr>
        <w:rPr>
          <w:sz w:val="22"/>
          <w:szCs w:val="22"/>
        </w:rPr>
      </w:pPr>
    </w:p>
    <w:p w:rsidR="00120828" w:rsidRDefault="00120828" w:rsidP="00120828">
      <w:pPr>
        <w:numPr>
          <w:ilvl w:val="12"/>
          <w:numId w:val="0"/>
        </w:numPr>
        <w:rPr>
          <w:sz w:val="22"/>
          <w:szCs w:val="22"/>
        </w:rPr>
      </w:pPr>
      <w:r>
        <w:rPr>
          <w:b/>
          <w:bCs/>
          <w:sz w:val="22"/>
          <w:szCs w:val="22"/>
        </w:rPr>
        <w:t>Authority:</w:t>
      </w:r>
      <w:r>
        <w:rPr>
          <w:sz w:val="22"/>
          <w:szCs w:val="22"/>
        </w:rPr>
        <w:t xml:space="preserve"> </w:t>
      </w:r>
      <w:r>
        <w:rPr>
          <w:i/>
          <w:iCs/>
          <w:sz w:val="22"/>
          <w:szCs w:val="22"/>
        </w:rPr>
        <w:t>French v. State,</w:t>
      </w:r>
      <w:r>
        <w:rPr>
          <w:sz w:val="22"/>
          <w:szCs w:val="22"/>
        </w:rPr>
        <w:t xml:space="preserve"> 403 N.E.2d 821 (Ind. 1980).</w:t>
      </w:r>
    </w:p>
    <w:p w:rsidR="00120828" w:rsidRDefault="00120828" w:rsidP="00120828">
      <w:pPr>
        <w:numPr>
          <w:ilvl w:val="12"/>
          <w:numId w:val="0"/>
        </w:numPr>
        <w:rPr>
          <w:sz w:val="22"/>
          <w:szCs w:val="22"/>
        </w:rPr>
      </w:pPr>
    </w:p>
    <w:p w:rsidR="00120828" w:rsidRPr="005D5C97" w:rsidRDefault="00120828" w:rsidP="00120828">
      <w:pPr>
        <w:widowControl/>
        <w:autoSpaceDE/>
        <w:autoSpaceDN/>
        <w:adjustRightInd/>
        <w:spacing w:before="100" w:beforeAutospacing="1" w:after="100" w:afterAutospacing="1"/>
        <w:rPr>
          <w:sz w:val="24"/>
          <w:szCs w:val="24"/>
        </w:rPr>
      </w:pPr>
      <w:r w:rsidRPr="005D5C97">
        <w:rPr>
          <w:sz w:val="24"/>
          <w:szCs w:val="24"/>
        </w:rPr>
        <w:t>A</w:t>
      </w:r>
      <w:r>
        <w:rPr>
          <w:sz w:val="24"/>
          <w:szCs w:val="24"/>
        </w:rPr>
        <w:t>n accused's belief</w:t>
      </w:r>
      <w:r w:rsidRPr="005D5C97">
        <w:rPr>
          <w:sz w:val="24"/>
          <w:szCs w:val="24"/>
        </w:rPr>
        <w:t xml:space="preserve"> that he is in "apparent danger" does not require</w:t>
      </w:r>
      <w:bookmarkStart w:id="1" w:name="_GoBack"/>
      <w:bookmarkEnd w:id="1"/>
      <w:r w:rsidRPr="005D5C97">
        <w:rPr>
          <w:sz w:val="24"/>
          <w:szCs w:val="24"/>
        </w:rPr>
        <w:t xml:space="preserve"> that danger be actual in order to support his claim of self-defense, but only that the belief be in good faith.  In asserting his right of self-defense, one may use the force he believes necessary even though in hindsight, it appears that there was no danger at all.</w:t>
      </w:r>
    </w:p>
    <w:p w:rsidR="00120828" w:rsidRPr="008D0679" w:rsidRDefault="00120828" w:rsidP="00120828">
      <w:pPr>
        <w:widowControl/>
        <w:autoSpaceDE/>
        <w:autoSpaceDN/>
        <w:adjustRightInd/>
        <w:spacing w:before="100" w:beforeAutospacing="1" w:after="100" w:afterAutospacing="1"/>
        <w:rPr>
          <w:sz w:val="22"/>
          <w:szCs w:val="22"/>
        </w:rPr>
      </w:pPr>
      <w:r w:rsidRPr="008D0679">
        <w:rPr>
          <w:sz w:val="22"/>
          <w:szCs w:val="22"/>
        </w:rPr>
        <w:t>Belief that "deadly force" was necessary must be in good faith and the accused's reaction to that belief must be reasonable based on surrounding circumstances. Importantly, the reasonableness of the belief can only be determined from the accused's perspective at the time of the event and under all existing circumstances.</w:t>
      </w:r>
    </w:p>
    <w:p w:rsidR="00120828" w:rsidRPr="008D0679" w:rsidRDefault="00120828" w:rsidP="00120828">
      <w:pPr>
        <w:widowControl/>
        <w:autoSpaceDE/>
        <w:autoSpaceDN/>
        <w:adjustRightInd/>
        <w:rPr>
          <w:sz w:val="22"/>
          <w:szCs w:val="22"/>
        </w:rPr>
      </w:pPr>
    </w:p>
    <w:p w:rsidR="00120828" w:rsidRPr="008D0679" w:rsidRDefault="00120828" w:rsidP="00120828">
      <w:pPr>
        <w:widowControl/>
        <w:autoSpaceDE/>
        <w:autoSpaceDN/>
        <w:adjustRightInd/>
        <w:spacing w:after="240"/>
        <w:rPr>
          <w:sz w:val="22"/>
          <w:szCs w:val="22"/>
        </w:rPr>
      </w:pPr>
      <w:r w:rsidRPr="008D0679">
        <w:rPr>
          <w:b/>
          <w:sz w:val="22"/>
          <w:szCs w:val="22"/>
        </w:rPr>
        <w:t>Authority</w:t>
      </w:r>
      <w:r w:rsidRPr="008D0679">
        <w:rPr>
          <w:sz w:val="22"/>
          <w:szCs w:val="22"/>
        </w:rPr>
        <w:t xml:space="preserve">: </w:t>
      </w:r>
      <w:proofErr w:type="spellStart"/>
      <w:r w:rsidRPr="008D0679">
        <w:rPr>
          <w:i/>
          <w:sz w:val="22"/>
          <w:szCs w:val="22"/>
        </w:rPr>
        <w:t>Geralds</w:t>
      </w:r>
      <w:proofErr w:type="spellEnd"/>
      <w:r w:rsidRPr="008D0679">
        <w:rPr>
          <w:i/>
          <w:sz w:val="22"/>
          <w:szCs w:val="22"/>
        </w:rPr>
        <w:t xml:space="preserve"> v. State</w:t>
      </w:r>
      <w:r w:rsidRPr="008D0679">
        <w:rPr>
          <w:sz w:val="22"/>
          <w:szCs w:val="22"/>
        </w:rPr>
        <w:t xml:space="preserve">, 647 N.E.2d 369 (Ind. Ct. App. 1995), </w:t>
      </w:r>
      <w:r w:rsidRPr="008D0679">
        <w:rPr>
          <w:i/>
          <w:sz w:val="22"/>
          <w:szCs w:val="22"/>
        </w:rPr>
        <w:t>Shepard v. State</w:t>
      </w:r>
      <w:r w:rsidRPr="008D0679">
        <w:rPr>
          <w:sz w:val="22"/>
          <w:szCs w:val="22"/>
        </w:rPr>
        <w:t xml:space="preserve">, 451 N.E.2d 1118 (Ind. Ct. App. 1983) and </w:t>
      </w:r>
      <w:proofErr w:type="spellStart"/>
      <w:r w:rsidRPr="008D0679">
        <w:rPr>
          <w:i/>
          <w:sz w:val="22"/>
          <w:szCs w:val="22"/>
        </w:rPr>
        <w:t>Nuss</w:t>
      </w:r>
      <w:proofErr w:type="spellEnd"/>
      <w:r w:rsidRPr="008D0679">
        <w:rPr>
          <w:i/>
          <w:sz w:val="22"/>
          <w:szCs w:val="22"/>
        </w:rPr>
        <w:t xml:space="preserve"> v. State</w:t>
      </w:r>
      <w:r w:rsidRPr="008D0679">
        <w:rPr>
          <w:sz w:val="22"/>
          <w:szCs w:val="22"/>
        </w:rPr>
        <w:t xml:space="preserve">, 328 N.E.2d 747 (Ind. Ct. App. 1975).  </w:t>
      </w:r>
    </w:p>
    <w:p w:rsidR="00120828" w:rsidRPr="008D0679" w:rsidRDefault="00120828" w:rsidP="00120828">
      <w:pPr>
        <w:widowControl/>
        <w:autoSpaceDE/>
        <w:autoSpaceDN/>
        <w:adjustRightInd/>
        <w:spacing w:before="100" w:beforeAutospacing="1" w:after="100" w:afterAutospacing="1"/>
        <w:rPr>
          <w:sz w:val="22"/>
          <w:szCs w:val="22"/>
        </w:rPr>
      </w:pPr>
      <w:r w:rsidRPr="008D0679">
        <w:rPr>
          <w:sz w:val="22"/>
          <w:szCs w:val="22"/>
        </w:rPr>
        <w:t xml:space="preserve">For purposes of self-defense, the amount of force which is reasonably necessary to defend oneself is to be determined from the standpoint of the accused in light of the surrounding circumstances.  The force employed must not be out of proportion to the apparent urgency of the situation. The right to self-defense is extinguished where the person has used more force than was reasonably necessary to repel the attack.  </w:t>
      </w:r>
    </w:p>
    <w:p w:rsidR="009F4D54" w:rsidRDefault="00120828" w:rsidP="00120828">
      <w:r w:rsidRPr="008D0679">
        <w:rPr>
          <w:rFonts w:eastAsia="Calibri"/>
          <w:b/>
          <w:sz w:val="22"/>
          <w:szCs w:val="22"/>
          <w:u w:val="single"/>
        </w:rPr>
        <w:t>Authority</w:t>
      </w:r>
      <w:r w:rsidRPr="008D0679">
        <w:rPr>
          <w:rFonts w:eastAsia="Calibri"/>
          <w:b/>
          <w:bCs/>
          <w:sz w:val="22"/>
          <w:szCs w:val="22"/>
        </w:rPr>
        <w:t xml:space="preserve">: </w:t>
      </w:r>
      <w:proofErr w:type="spellStart"/>
      <w:r w:rsidRPr="008D0679">
        <w:rPr>
          <w:rFonts w:eastAsia="Calibri"/>
          <w:i/>
          <w:sz w:val="22"/>
          <w:szCs w:val="22"/>
          <w:u w:val="single"/>
        </w:rPr>
        <w:t>Geralds</w:t>
      </w:r>
      <w:proofErr w:type="spellEnd"/>
      <w:r w:rsidRPr="008D0679">
        <w:rPr>
          <w:rFonts w:eastAsia="Calibri"/>
          <w:i/>
          <w:sz w:val="22"/>
          <w:szCs w:val="22"/>
          <w:u w:val="single"/>
        </w:rPr>
        <w:t xml:space="preserve"> v. State</w:t>
      </w:r>
      <w:r w:rsidRPr="008D0679">
        <w:rPr>
          <w:rFonts w:eastAsia="Calibri"/>
          <w:b/>
          <w:bCs/>
          <w:sz w:val="22"/>
          <w:szCs w:val="22"/>
        </w:rPr>
        <w:t xml:space="preserve">, 647 N.E.2d 369 (Ind. Ct. App. 1995), </w:t>
      </w:r>
      <w:r w:rsidRPr="008D0679">
        <w:rPr>
          <w:rFonts w:eastAsia="Calibri"/>
          <w:i/>
          <w:sz w:val="22"/>
          <w:szCs w:val="22"/>
          <w:u w:val="single"/>
        </w:rPr>
        <w:t>Morrison v. State</w:t>
      </w:r>
      <w:r w:rsidRPr="008D0679">
        <w:rPr>
          <w:rFonts w:eastAsia="Calibri"/>
          <w:b/>
          <w:bCs/>
          <w:sz w:val="22"/>
          <w:szCs w:val="22"/>
        </w:rPr>
        <w:t>, 613 N.E.2d 865 (Ind. Ct. App. 1993). </w:t>
      </w:r>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69AA5F8C-DE5B-430E-B64C-671158F4C685}"/>
  </w:docVars>
  <w:rsids>
    <w:rsidRoot w:val="00273868"/>
    <w:rsid w:val="00120828"/>
    <w:rsid w:val="00273868"/>
    <w:rsid w:val="003A69FC"/>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E9118-B510-42AC-9663-E2DFB02E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86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7386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86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17FB0D0C-CE52-40C1-A1AF-6AAFA41620A2}"/>
</file>

<file path=customXml/itemProps2.xml><?xml version="1.0" encoding="utf-8"?>
<ds:datastoreItem xmlns:ds="http://schemas.openxmlformats.org/officeDocument/2006/customXml" ds:itemID="{D0FD928B-8E1E-438E-876E-9F8D25A9A2F8}"/>
</file>

<file path=customXml/itemProps3.xml><?xml version="1.0" encoding="utf-8"?>
<ds:datastoreItem xmlns:ds="http://schemas.openxmlformats.org/officeDocument/2006/customXml" ds:itemID="{AEFA290A-09AB-4D67-B21E-17BD01800F47}"/>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3</cp:revision>
  <dcterms:created xsi:type="dcterms:W3CDTF">2013-10-21T22:02:00Z</dcterms:created>
  <dcterms:modified xsi:type="dcterms:W3CDTF">2017-04-21T14:00:00Z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