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52F" w:rsidRPr="0077777F" w:rsidRDefault="00F0752F" w:rsidP="00F0752F">
      <w:pPr>
        <w:pStyle w:val="Heading1"/>
        <w:jc w:val="center"/>
        <w:rPr>
          <w:sz w:val="28"/>
          <w:szCs w:val="28"/>
        </w:rPr>
      </w:pPr>
      <w:bookmarkStart w:id="0" w:name="_Toc369589024"/>
      <w:r w:rsidRPr="0077777F">
        <w:rPr>
          <w:sz w:val="28"/>
          <w:szCs w:val="28"/>
        </w:rPr>
        <w:t>10.33.</w:t>
      </w:r>
      <w:r>
        <w:rPr>
          <w:sz w:val="28"/>
          <w:szCs w:val="28"/>
        </w:rPr>
        <w:t xml:space="preserve"> </w:t>
      </w:r>
      <w:r w:rsidRPr="0077777F">
        <w:rPr>
          <w:sz w:val="28"/>
          <w:szCs w:val="28"/>
        </w:rPr>
        <w:t xml:space="preserve"> Legal authority - Discipline by teacher</w:t>
      </w:r>
      <w:bookmarkEnd w:id="0"/>
      <w:r w:rsidRPr="0077777F">
        <w:rPr>
          <w:sz w:val="28"/>
          <w:szCs w:val="28"/>
        </w:rPr>
        <w:t xml:space="preserve"> </w:t>
      </w:r>
    </w:p>
    <w:p w:rsidR="00F0752F" w:rsidRDefault="00F0752F" w:rsidP="00F0752F">
      <w:pPr>
        <w:numPr>
          <w:ilvl w:val="12"/>
          <w:numId w:val="0"/>
        </w:numPr>
        <w:rPr>
          <w:sz w:val="22"/>
          <w:szCs w:val="22"/>
        </w:rPr>
      </w:pPr>
    </w:p>
    <w:p w:rsidR="0070386F" w:rsidRDefault="0070386F" w:rsidP="0070386F">
      <w:pPr>
        <w:numPr>
          <w:ilvl w:val="12"/>
          <w:numId w:val="0"/>
        </w:numPr>
        <w:rPr>
          <w:sz w:val="22"/>
          <w:szCs w:val="22"/>
        </w:rPr>
      </w:pPr>
      <w:r>
        <w:rPr>
          <w:sz w:val="22"/>
          <w:szCs w:val="22"/>
        </w:rPr>
        <w:tab/>
        <w:t>Under Indiana law, a person may not be convicted for engaging in conduct that would otherwise be a crime if he has legal authority to engage in the conduct.</w:t>
      </w:r>
    </w:p>
    <w:p w:rsidR="0070386F" w:rsidRDefault="0070386F" w:rsidP="0070386F">
      <w:pPr>
        <w:numPr>
          <w:ilvl w:val="12"/>
          <w:numId w:val="0"/>
        </w:numPr>
        <w:rPr>
          <w:sz w:val="22"/>
          <w:szCs w:val="22"/>
        </w:rPr>
      </w:pPr>
    </w:p>
    <w:p w:rsidR="0070386F" w:rsidRDefault="0070386F" w:rsidP="0070386F">
      <w:pPr>
        <w:numPr>
          <w:ilvl w:val="12"/>
          <w:numId w:val="0"/>
        </w:numPr>
        <w:rPr>
          <w:sz w:val="22"/>
          <w:szCs w:val="22"/>
        </w:rPr>
      </w:pPr>
      <w:r>
        <w:rPr>
          <w:sz w:val="22"/>
          <w:szCs w:val="22"/>
        </w:rPr>
        <w:tab/>
        <w:t>Under Indiana law, teachers have the right to take any disciplinary action necessary to promote student conduct that conforms to an orderly and effective educational system. Teachers may also take any action that is reasonably necessary to carry out, or prevent an interference with, an educational function that the teacher supervises. A teacher is authorized to use reasonable force to control his/her classroom or discipline his/her students without being guilty of an assault or battery.</w:t>
      </w:r>
    </w:p>
    <w:p w:rsidR="0070386F" w:rsidRDefault="0070386F" w:rsidP="0070386F">
      <w:pPr>
        <w:numPr>
          <w:ilvl w:val="12"/>
          <w:numId w:val="0"/>
        </w:numPr>
        <w:rPr>
          <w:sz w:val="22"/>
          <w:szCs w:val="22"/>
        </w:rPr>
      </w:pPr>
    </w:p>
    <w:p w:rsidR="0070386F" w:rsidRDefault="0070386F" w:rsidP="0070386F">
      <w:pPr>
        <w:numPr>
          <w:ilvl w:val="12"/>
          <w:numId w:val="0"/>
        </w:numPr>
        <w:rPr>
          <w:sz w:val="22"/>
          <w:szCs w:val="22"/>
        </w:rPr>
      </w:pPr>
      <w:r>
        <w:rPr>
          <w:sz w:val="22"/>
          <w:szCs w:val="22"/>
        </w:rPr>
        <w:tab/>
        <w:t xml:space="preserve">The law of Indiana clearly accords to the public school teacher the same right over a child in his/her school as possessed by the parent, and this includes the right to administer discipline or corporal punishment where appropriate. The teacher stands </w:t>
      </w:r>
      <w:r>
        <w:rPr>
          <w:i/>
          <w:iCs/>
          <w:sz w:val="22"/>
          <w:szCs w:val="22"/>
        </w:rPr>
        <w:t>in loco parentis</w:t>
      </w:r>
      <w:r>
        <w:rPr>
          <w:sz w:val="22"/>
          <w:szCs w:val="22"/>
        </w:rPr>
        <w:t xml:space="preserve"> (which means “in the place of the parent”) to the child, and his/her authority in this respect is no more subject to question than is the authority of the parent. Indiana law permits a parent or teacher to engage in reasonable control or discipline of a child, even if such conduct would otherwise constitute battery. In order to qualify as a defense, discipline must be reasonable and not cruel or excessive. </w:t>
      </w:r>
    </w:p>
    <w:p w:rsidR="0070386F" w:rsidRDefault="0070386F" w:rsidP="0070386F">
      <w:pPr>
        <w:numPr>
          <w:ilvl w:val="12"/>
          <w:numId w:val="0"/>
        </w:numPr>
        <w:rPr>
          <w:sz w:val="22"/>
          <w:szCs w:val="22"/>
        </w:rPr>
      </w:pPr>
    </w:p>
    <w:p w:rsidR="0070386F" w:rsidRDefault="0070386F" w:rsidP="0070386F">
      <w:pPr>
        <w:numPr>
          <w:ilvl w:val="12"/>
          <w:numId w:val="0"/>
        </w:numPr>
        <w:rPr>
          <w:sz w:val="22"/>
          <w:szCs w:val="22"/>
        </w:rPr>
      </w:pPr>
      <w:r>
        <w:rPr>
          <w:sz w:val="22"/>
          <w:szCs w:val="22"/>
        </w:rPr>
        <w:tab/>
        <w:t>The State has the burden of proving beyond a reasonable doubt that the accused did not have legal authority.</w:t>
      </w:r>
    </w:p>
    <w:p w:rsidR="0070386F" w:rsidRDefault="0070386F" w:rsidP="0070386F">
      <w:pPr>
        <w:numPr>
          <w:ilvl w:val="12"/>
          <w:numId w:val="0"/>
        </w:numPr>
        <w:rPr>
          <w:sz w:val="22"/>
          <w:szCs w:val="22"/>
        </w:rPr>
      </w:pPr>
    </w:p>
    <w:p w:rsidR="0070386F" w:rsidRDefault="0070386F" w:rsidP="0070386F">
      <w:pPr>
        <w:numPr>
          <w:ilvl w:val="12"/>
          <w:numId w:val="0"/>
        </w:numPr>
        <w:rPr>
          <w:sz w:val="22"/>
          <w:szCs w:val="22"/>
        </w:rPr>
      </w:pPr>
      <w:r>
        <w:rPr>
          <w:b/>
          <w:bCs/>
          <w:sz w:val="22"/>
          <w:szCs w:val="22"/>
        </w:rPr>
        <w:t>Authority:</w:t>
      </w:r>
      <w:r>
        <w:rPr>
          <w:sz w:val="22"/>
          <w:szCs w:val="22"/>
        </w:rPr>
        <w:t xml:space="preserve"> IN Pattern Jury Instruction No. 10.01; IC 35-41-3-1; IC 20-33-8-8; IC 20-33-8-9; </w:t>
      </w:r>
      <w:proofErr w:type="spellStart"/>
      <w:r w:rsidRPr="00F404AA">
        <w:rPr>
          <w:i/>
          <w:sz w:val="22"/>
          <w:szCs w:val="22"/>
        </w:rPr>
        <w:t>Barocas</w:t>
      </w:r>
      <w:proofErr w:type="spellEnd"/>
      <w:r w:rsidRPr="00F404AA">
        <w:rPr>
          <w:i/>
          <w:sz w:val="22"/>
          <w:szCs w:val="22"/>
        </w:rPr>
        <w:t xml:space="preserve"> v. State</w:t>
      </w:r>
      <w:r>
        <w:rPr>
          <w:sz w:val="22"/>
          <w:szCs w:val="22"/>
        </w:rPr>
        <w:t xml:space="preserve">, 949 N.E.2d 1256 (Ind.Ct.App. 2011); </w:t>
      </w:r>
      <w:r w:rsidRPr="00F404AA">
        <w:rPr>
          <w:i/>
          <w:iCs/>
          <w:sz w:val="22"/>
          <w:szCs w:val="22"/>
        </w:rPr>
        <w:t xml:space="preserve">State v. Fettig, </w:t>
      </w:r>
      <w:r w:rsidRPr="00F404AA">
        <w:rPr>
          <w:iCs/>
          <w:sz w:val="22"/>
          <w:szCs w:val="22"/>
        </w:rPr>
        <w:t>884 N.E.2d 341, 345 (Ind. Ct. App. 2008)</w:t>
      </w:r>
      <w:r>
        <w:rPr>
          <w:sz w:val="22"/>
          <w:szCs w:val="22"/>
        </w:rPr>
        <w:t xml:space="preserve">; </w:t>
      </w:r>
      <w:r>
        <w:rPr>
          <w:i/>
          <w:iCs/>
          <w:sz w:val="22"/>
          <w:szCs w:val="22"/>
        </w:rPr>
        <w:t>Dyson v. State</w:t>
      </w:r>
      <w:r>
        <w:rPr>
          <w:sz w:val="22"/>
          <w:szCs w:val="22"/>
        </w:rPr>
        <w:t xml:space="preserve">, 692 N.E.2d 1374 (Ind.Ct.App. 1998); </w:t>
      </w:r>
      <w:r>
        <w:rPr>
          <w:i/>
          <w:iCs/>
          <w:sz w:val="22"/>
          <w:szCs w:val="22"/>
        </w:rPr>
        <w:t>Smith v. State</w:t>
      </w:r>
      <w:r>
        <w:rPr>
          <w:sz w:val="22"/>
          <w:szCs w:val="22"/>
        </w:rPr>
        <w:t>, 489 N.E.2d 140 (Ind.Ct.App. 1986);</w:t>
      </w:r>
      <w:r>
        <w:rPr>
          <w:i/>
          <w:iCs/>
          <w:sz w:val="22"/>
          <w:szCs w:val="22"/>
        </w:rPr>
        <w:t xml:space="preserve"> </w:t>
      </w:r>
      <w:r>
        <w:rPr>
          <w:sz w:val="22"/>
          <w:szCs w:val="22"/>
        </w:rPr>
        <w:t>Black’s Law Dictionary, pg. 542, (6th Ed., 1991).</w:t>
      </w:r>
    </w:p>
    <w:p w:rsidR="0070386F" w:rsidRDefault="0070386F" w:rsidP="0070386F">
      <w:pPr>
        <w:numPr>
          <w:ilvl w:val="12"/>
          <w:numId w:val="0"/>
        </w:numPr>
        <w:rPr>
          <w:sz w:val="22"/>
          <w:szCs w:val="22"/>
        </w:rPr>
      </w:pPr>
    </w:p>
    <w:p w:rsidR="0070386F" w:rsidRDefault="0070386F" w:rsidP="0070386F">
      <w:pPr>
        <w:numPr>
          <w:ilvl w:val="12"/>
          <w:numId w:val="0"/>
        </w:numPr>
        <w:rPr>
          <w:b/>
          <w:bCs/>
          <w:sz w:val="22"/>
          <w:szCs w:val="22"/>
        </w:rPr>
      </w:pPr>
      <w:r>
        <w:rPr>
          <w:b/>
          <w:bCs/>
          <w:sz w:val="22"/>
          <w:szCs w:val="22"/>
        </w:rPr>
        <w:t xml:space="preserve">Related instructions: </w:t>
      </w:r>
    </w:p>
    <w:p w:rsidR="0070386F" w:rsidRDefault="0070386F" w:rsidP="0070386F">
      <w:pPr>
        <w:numPr>
          <w:ilvl w:val="12"/>
          <w:numId w:val="0"/>
        </w:numPr>
        <w:rPr>
          <w:b/>
          <w:bCs/>
          <w:sz w:val="22"/>
          <w:szCs w:val="22"/>
        </w:rPr>
      </w:pPr>
    </w:p>
    <w:p w:rsidR="0070386F" w:rsidRDefault="0070386F" w:rsidP="0070386F">
      <w:pPr>
        <w:numPr>
          <w:ilvl w:val="12"/>
          <w:numId w:val="0"/>
        </w:numPr>
        <w:rPr>
          <w:sz w:val="22"/>
          <w:szCs w:val="22"/>
        </w:rPr>
      </w:pPr>
      <w:r>
        <w:rPr>
          <w:sz w:val="22"/>
          <w:szCs w:val="22"/>
        </w:rPr>
        <w:tab/>
        <w:t xml:space="preserve">Student supervision and the desirable behavior of students in carrying out school purposes are the responsibility of a school corporation and the students of a school corporation. </w:t>
      </w:r>
    </w:p>
    <w:p w:rsidR="0070386F" w:rsidRDefault="0070386F" w:rsidP="0070386F">
      <w:pPr>
        <w:numPr>
          <w:ilvl w:val="12"/>
          <w:numId w:val="0"/>
        </w:numPr>
        <w:rPr>
          <w:sz w:val="22"/>
          <w:szCs w:val="22"/>
        </w:rPr>
      </w:pPr>
    </w:p>
    <w:p w:rsidR="0070386F" w:rsidRDefault="0070386F" w:rsidP="0070386F">
      <w:pPr>
        <w:numPr>
          <w:ilvl w:val="12"/>
          <w:numId w:val="0"/>
        </w:numPr>
        <w:rPr>
          <w:sz w:val="22"/>
          <w:szCs w:val="22"/>
        </w:rPr>
      </w:pPr>
      <w:r>
        <w:rPr>
          <w:sz w:val="22"/>
          <w:szCs w:val="22"/>
        </w:rPr>
        <w:tab/>
        <w:t>Students must follow responsible directions of school personnel in all educational settings and refrain from disruptive behavior that interferes with the educational environment.</w:t>
      </w:r>
    </w:p>
    <w:p w:rsidR="0070386F" w:rsidRDefault="0070386F" w:rsidP="0070386F">
      <w:pPr>
        <w:numPr>
          <w:ilvl w:val="12"/>
          <w:numId w:val="0"/>
        </w:numPr>
        <w:rPr>
          <w:sz w:val="22"/>
          <w:szCs w:val="22"/>
        </w:rPr>
      </w:pPr>
    </w:p>
    <w:p w:rsidR="0070386F" w:rsidRDefault="0070386F" w:rsidP="0070386F">
      <w:pPr>
        <w:numPr>
          <w:ilvl w:val="12"/>
          <w:numId w:val="0"/>
        </w:numPr>
        <w:rPr>
          <w:sz w:val="22"/>
          <w:szCs w:val="22"/>
        </w:rPr>
      </w:pPr>
      <w:r>
        <w:rPr>
          <w:b/>
          <w:bCs/>
          <w:sz w:val="22"/>
          <w:szCs w:val="22"/>
        </w:rPr>
        <w:t xml:space="preserve">Authority: </w:t>
      </w:r>
      <w:r>
        <w:rPr>
          <w:sz w:val="22"/>
          <w:szCs w:val="22"/>
        </w:rPr>
        <w:t>IC 20-33-8-8</w:t>
      </w:r>
    </w:p>
    <w:p w:rsidR="0070386F" w:rsidRDefault="0070386F" w:rsidP="0070386F">
      <w:pPr>
        <w:numPr>
          <w:ilvl w:val="12"/>
          <w:numId w:val="0"/>
        </w:numPr>
        <w:rPr>
          <w:sz w:val="22"/>
          <w:szCs w:val="22"/>
        </w:rPr>
      </w:pPr>
    </w:p>
    <w:p w:rsidR="0070386F" w:rsidRDefault="0070386F" w:rsidP="0070386F">
      <w:pPr>
        <w:numPr>
          <w:ilvl w:val="12"/>
          <w:numId w:val="0"/>
        </w:numPr>
        <w:rPr>
          <w:sz w:val="22"/>
          <w:szCs w:val="22"/>
        </w:rPr>
      </w:pPr>
      <w:r>
        <w:rPr>
          <w:sz w:val="22"/>
          <w:szCs w:val="22"/>
        </w:rPr>
        <w:t xml:space="preserve">The legitimate object of chastisement is to inflict punishment by the pain which it causes. It does not therefore, necessarily follow that because pain was produced or some abrasion of the skin resulted that chastisement was cruel, excessive or unreasonable. </w:t>
      </w:r>
    </w:p>
    <w:p w:rsidR="0070386F" w:rsidRDefault="0070386F" w:rsidP="0070386F">
      <w:pPr>
        <w:numPr>
          <w:ilvl w:val="12"/>
          <w:numId w:val="0"/>
        </w:numPr>
        <w:rPr>
          <w:sz w:val="22"/>
          <w:szCs w:val="22"/>
        </w:rPr>
      </w:pPr>
      <w:bookmarkStart w:id="1" w:name="_GoBack"/>
      <w:bookmarkEnd w:id="1"/>
    </w:p>
    <w:p w:rsidR="0070386F" w:rsidRDefault="0070386F" w:rsidP="0070386F">
      <w:pPr>
        <w:numPr>
          <w:ilvl w:val="12"/>
          <w:numId w:val="0"/>
        </w:numPr>
        <w:rPr>
          <w:sz w:val="22"/>
          <w:szCs w:val="22"/>
        </w:rPr>
      </w:pPr>
      <w:r>
        <w:rPr>
          <w:b/>
          <w:bCs/>
          <w:sz w:val="22"/>
          <w:szCs w:val="22"/>
        </w:rPr>
        <w:t>Authority:</w:t>
      </w:r>
      <w:r>
        <w:rPr>
          <w:sz w:val="22"/>
          <w:szCs w:val="22"/>
        </w:rPr>
        <w:t xml:space="preserve"> </w:t>
      </w:r>
      <w:proofErr w:type="spellStart"/>
      <w:r>
        <w:rPr>
          <w:i/>
          <w:iCs/>
          <w:sz w:val="22"/>
          <w:szCs w:val="22"/>
        </w:rPr>
        <w:t>Vanvactor</w:t>
      </w:r>
      <w:proofErr w:type="spellEnd"/>
      <w:r>
        <w:rPr>
          <w:i/>
          <w:iCs/>
          <w:sz w:val="22"/>
          <w:szCs w:val="22"/>
        </w:rPr>
        <w:t xml:space="preserve"> v. State</w:t>
      </w:r>
      <w:r>
        <w:rPr>
          <w:sz w:val="22"/>
          <w:szCs w:val="22"/>
        </w:rPr>
        <w:t>, 113 Ind. 276 (1887)</w:t>
      </w:r>
    </w:p>
    <w:p w:rsidR="0070386F" w:rsidRDefault="0070386F" w:rsidP="0070386F">
      <w:pPr>
        <w:numPr>
          <w:ilvl w:val="12"/>
          <w:numId w:val="0"/>
        </w:numPr>
        <w:rPr>
          <w:sz w:val="22"/>
          <w:szCs w:val="22"/>
        </w:rPr>
      </w:pPr>
    </w:p>
    <w:p w:rsidR="0070386F" w:rsidRDefault="0070386F" w:rsidP="0070386F">
      <w:pPr>
        <w:numPr>
          <w:ilvl w:val="12"/>
          <w:numId w:val="0"/>
        </w:numPr>
        <w:rPr>
          <w:sz w:val="22"/>
          <w:szCs w:val="22"/>
        </w:rPr>
      </w:pPr>
      <w:r>
        <w:rPr>
          <w:sz w:val="22"/>
          <w:szCs w:val="22"/>
        </w:rPr>
        <w:t>A teacher, and a parent, have not only the right but the obligation to discipline a child, if necessary using corporal punishment, for the good of such child, as well as the protection of third parties offended or injured by the actions of such child. The failure to exercise such disciplinary action where the occasion requires it, is condemned by law as much as excessive and cruel punishment beyond requirements.</w:t>
      </w:r>
    </w:p>
    <w:p w:rsidR="00F0752F" w:rsidRDefault="00F0752F" w:rsidP="00F0752F">
      <w:pPr>
        <w:numPr>
          <w:ilvl w:val="12"/>
          <w:numId w:val="0"/>
        </w:numPr>
        <w:rPr>
          <w:sz w:val="22"/>
          <w:szCs w:val="22"/>
        </w:rPr>
      </w:pPr>
    </w:p>
    <w:p w:rsidR="00F0752F" w:rsidRDefault="00F0752F" w:rsidP="00F0752F">
      <w:pPr>
        <w:numPr>
          <w:ilvl w:val="12"/>
          <w:numId w:val="0"/>
        </w:numPr>
        <w:rPr>
          <w:sz w:val="22"/>
          <w:szCs w:val="22"/>
        </w:rPr>
      </w:pPr>
    </w:p>
    <w:p w:rsidR="00F0752F" w:rsidRDefault="00F0752F" w:rsidP="00F0752F">
      <w:pPr>
        <w:numPr>
          <w:ilvl w:val="12"/>
          <w:numId w:val="0"/>
        </w:numPr>
        <w:rPr>
          <w:sz w:val="22"/>
          <w:szCs w:val="22"/>
        </w:rPr>
      </w:pPr>
      <w:r>
        <w:rPr>
          <w:b/>
          <w:bCs/>
          <w:sz w:val="22"/>
          <w:szCs w:val="22"/>
        </w:rPr>
        <w:lastRenderedPageBreak/>
        <w:t>Authority:</w:t>
      </w:r>
      <w:r>
        <w:rPr>
          <w:sz w:val="22"/>
          <w:szCs w:val="22"/>
        </w:rPr>
        <w:t xml:space="preserve"> </w:t>
      </w:r>
      <w:proofErr w:type="spellStart"/>
      <w:r>
        <w:rPr>
          <w:i/>
          <w:iCs/>
          <w:sz w:val="22"/>
          <w:szCs w:val="22"/>
        </w:rPr>
        <w:t>Vanvactor</w:t>
      </w:r>
      <w:proofErr w:type="spellEnd"/>
      <w:r>
        <w:rPr>
          <w:i/>
          <w:iCs/>
          <w:sz w:val="22"/>
          <w:szCs w:val="22"/>
        </w:rPr>
        <w:t xml:space="preserve"> v. State</w:t>
      </w:r>
      <w:r>
        <w:rPr>
          <w:sz w:val="22"/>
          <w:szCs w:val="22"/>
        </w:rPr>
        <w:t>, 113 Ind. 276 (1887)</w:t>
      </w:r>
    </w:p>
    <w:p w:rsidR="00F0752F" w:rsidRDefault="00F0752F" w:rsidP="00F0752F">
      <w:pPr>
        <w:numPr>
          <w:ilvl w:val="12"/>
          <w:numId w:val="0"/>
        </w:numPr>
        <w:rPr>
          <w:sz w:val="22"/>
          <w:szCs w:val="22"/>
        </w:rPr>
      </w:pPr>
    </w:p>
    <w:p w:rsidR="00F0752F" w:rsidRDefault="00F0752F" w:rsidP="00F0752F">
      <w:pPr>
        <w:numPr>
          <w:ilvl w:val="12"/>
          <w:numId w:val="0"/>
        </w:numPr>
        <w:rPr>
          <w:sz w:val="22"/>
          <w:szCs w:val="22"/>
        </w:rPr>
      </w:pPr>
      <w:r>
        <w:rPr>
          <w:sz w:val="22"/>
          <w:szCs w:val="22"/>
        </w:rPr>
        <w:t>A teacher, and a parent, have not only the right but the obligation to discipline a child, if necessary using corporal punishment, for the good of such child, as well as the protection of third parties offended or injured by the actions of such child. The failure to exercise such disciplinary action where the occasion requires it, is condemned by law as much as excessive and cruel punishment beyond requirements.</w:t>
      </w:r>
    </w:p>
    <w:p w:rsidR="00F0752F" w:rsidRDefault="00F0752F" w:rsidP="00F0752F">
      <w:pPr>
        <w:numPr>
          <w:ilvl w:val="12"/>
          <w:numId w:val="0"/>
        </w:numPr>
        <w:rPr>
          <w:sz w:val="22"/>
          <w:szCs w:val="22"/>
        </w:rPr>
      </w:pPr>
    </w:p>
    <w:p w:rsidR="00F0752F" w:rsidRDefault="00F0752F" w:rsidP="00F0752F">
      <w:pPr>
        <w:numPr>
          <w:ilvl w:val="12"/>
          <w:numId w:val="0"/>
        </w:numPr>
        <w:rPr>
          <w:sz w:val="22"/>
          <w:szCs w:val="22"/>
        </w:rPr>
      </w:pPr>
      <w:r>
        <w:rPr>
          <w:b/>
          <w:bCs/>
          <w:sz w:val="22"/>
          <w:szCs w:val="22"/>
        </w:rPr>
        <w:t>Authority:</w:t>
      </w:r>
      <w:r>
        <w:rPr>
          <w:sz w:val="22"/>
          <w:szCs w:val="22"/>
        </w:rPr>
        <w:t xml:space="preserve"> </w:t>
      </w:r>
      <w:r>
        <w:rPr>
          <w:i/>
          <w:iCs/>
          <w:sz w:val="22"/>
          <w:szCs w:val="22"/>
        </w:rPr>
        <w:t>Ind. St. Personnel Bd. V. Jackson</w:t>
      </w:r>
      <w:r>
        <w:rPr>
          <w:sz w:val="22"/>
          <w:szCs w:val="22"/>
        </w:rPr>
        <w:t xml:space="preserve">, 192 N.E.2d 321 (Ind. 1963) </w:t>
      </w:r>
    </w:p>
    <w:p w:rsidR="00F0752F" w:rsidRDefault="00F0752F" w:rsidP="00F0752F">
      <w:pPr>
        <w:numPr>
          <w:ilvl w:val="12"/>
          <w:numId w:val="0"/>
        </w:numPr>
        <w:rPr>
          <w:sz w:val="22"/>
          <w:szCs w:val="22"/>
        </w:rPr>
      </w:pPr>
    </w:p>
    <w:p w:rsidR="009F4D54" w:rsidRDefault="009F4D54"/>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CITRUS_JURISDICTION" w:val="Bluebook"/>
    <w:docVar w:name="CITRUS_DOC_GUID" w:val="3eec2fb0-8e75-4400-a978-73438f71e65e"/>
  </w:docVars>
  <w:rsids>
    <w:rsidRoot w:val="00F0752F"/>
    <w:rsid w:val="0070386F"/>
    <w:rsid w:val="009F4D54"/>
    <w:rsid w:val="00F07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13251D-FC92-4393-A98F-DA1029C0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52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0752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752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DD1120BE-BB00-4976-B3C0-41FEA4F09068}"/>
</file>

<file path=customXml/itemProps2.xml><?xml version="1.0" encoding="utf-8"?>
<ds:datastoreItem xmlns:ds="http://schemas.openxmlformats.org/officeDocument/2006/customXml" ds:itemID="{AA0653F5-F13B-4C6F-A14B-A7A21D4741B4}"/>
</file>

<file path=customXml/itemProps3.xml><?xml version="1.0" encoding="utf-8"?>
<ds:datastoreItem xmlns:ds="http://schemas.openxmlformats.org/officeDocument/2006/customXml" ds:itemID="{54827252-8E4B-4D59-91F9-E7F2AF01D23F}"/>
</file>

<file path=docProps/app.xml><?xml version="1.0" encoding="utf-8"?>
<Properties xmlns="http://schemas.openxmlformats.org/officeDocument/2006/extended-properties" xmlns:vt="http://schemas.openxmlformats.org/officeDocument/2006/docPropsVTypes">
  <Template>Normal.dotm</Template>
  <TotalTime>2</TotalTime>
  <Pages>2</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2</cp:revision>
  <dcterms:created xsi:type="dcterms:W3CDTF">2013-10-21T21:57:00Z</dcterms:created>
  <dcterms:modified xsi:type="dcterms:W3CDTF">2017-04-21T13:53:00Z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