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EF6" w:rsidRPr="003404D2" w:rsidRDefault="006B4EF6" w:rsidP="006B4EF6">
      <w:pPr>
        <w:pStyle w:val="Heading1"/>
        <w:jc w:val="center"/>
        <w:rPr>
          <w:sz w:val="28"/>
          <w:szCs w:val="28"/>
        </w:rPr>
      </w:pPr>
      <w:bookmarkStart w:id="0" w:name="_Toc369588998"/>
      <w:r w:rsidRPr="003404D2">
        <w:rPr>
          <w:sz w:val="28"/>
          <w:szCs w:val="28"/>
        </w:rPr>
        <w:t xml:space="preserve">10.8. </w:t>
      </w:r>
      <w:r>
        <w:rPr>
          <w:sz w:val="28"/>
          <w:szCs w:val="28"/>
        </w:rPr>
        <w:t xml:space="preserve"> </w:t>
      </w:r>
      <w:r w:rsidRPr="003404D2">
        <w:rPr>
          <w:sz w:val="28"/>
          <w:szCs w:val="28"/>
        </w:rPr>
        <w:t>Duress</w:t>
      </w:r>
      <w:bookmarkEnd w:id="0"/>
    </w:p>
    <w:p w:rsidR="006B4EF6" w:rsidRDefault="006B4EF6" w:rsidP="006B4EF6">
      <w:pPr>
        <w:rPr>
          <w:sz w:val="22"/>
          <w:szCs w:val="22"/>
        </w:rPr>
      </w:pPr>
    </w:p>
    <w:p w:rsidR="003E4301" w:rsidRPr="00A375D7" w:rsidRDefault="003E4301" w:rsidP="003E4301">
      <w:pPr>
        <w:widowControl/>
        <w:autoSpaceDE/>
        <w:autoSpaceDN/>
        <w:adjustRightInd/>
        <w:rPr>
          <w:sz w:val="22"/>
          <w:szCs w:val="22"/>
        </w:rPr>
      </w:pPr>
      <w:r w:rsidRPr="00A375D7">
        <w:rPr>
          <w:b/>
          <w:sz w:val="22"/>
          <w:szCs w:val="22"/>
        </w:rPr>
        <w:t>I.C. 35-41-3-8</w:t>
      </w:r>
      <w:r w:rsidRPr="00A375D7">
        <w:rPr>
          <w:sz w:val="22"/>
          <w:szCs w:val="22"/>
        </w:rPr>
        <w:t>.</w:t>
      </w:r>
    </w:p>
    <w:p w:rsidR="003E4301" w:rsidRPr="00A375D7" w:rsidRDefault="003E4301" w:rsidP="003E4301">
      <w:pPr>
        <w:widowControl/>
        <w:autoSpaceDE/>
        <w:autoSpaceDN/>
        <w:adjustRightInd/>
        <w:spacing w:before="100" w:beforeAutospacing="1" w:after="100" w:afterAutospacing="1"/>
        <w:rPr>
          <w:sz w:val="22"/>
          <w:szCs w:val="22"/>
        </w:rPr>
      </w:pPr>
      <w:r w:rsidRPr="00A375D7">
        <w:rPr>
          <w:sz w:val="22"/>
          <w:szCs w:val="22"/>
        </w:rPr>
        <w:t>It is an issue whether the Accused was acting under duress.</w:t>
      </w:r>
    </w:p>
    <w:p w:rsidR="003E4301" w:rsidRPr="00A375D7" w:rsidRDefault="003E4301" w:rsidP="003E4301">
      <w:pPr>
        <w:widowControl/>
        <w:autoSpaceDE/>
        <w:autoSpaceDN/>
        <w:adjustRightInd/>
        <w:spacing w:before="100" w:beforeAutospacing="1" w:after="100" w:afterAutospacing="1"/>
        <w:rPr>
          <w:sz w:val="22"/>
          <w:szCs w:val="22"/>
        </w:rPr>
      </w:pPr>
      <w:r w:rsidRPr="00A375D7">
        <w:rPr>
          <w:sz w:val="22"/>
          <w:szCs w:val="22"/>
        </w:rPr>
        <w:t>It is a defense that the Accused was compelled to commit the acts charged by threat of imminent serious bodily injury to himself or another person. [With respect to offenses other than felonies, it is a defense that the Accused was compelled to commit the acts charged by force or threat of force.] Compulsion exists only if the force, threat, or circumstances would render a reasonable person incapable of resisting the pressure.</w:t>
      </w:r>
    </w:p>
    <w:p w:rsidR="003E4301" w:rsidRPr="00A375D7" w:rsidRDefault="003E4301" w:rsidP="003E4301">
      <w:pPr>
        <w:widowControl/>
        <w:autoSpaceDE/>
        <w:autoSpaceDN/>
        <w:adjustRightInd/>
        <w:spacing w:before="100" w:beforeAutospacing="1" w:after="100" w:afterAutospacing="1"/>
        <w:rPr>
          <w:sz w:val="22"/>
          <w:szCs w:val="22"/>
        </w:rPr>
      </w:pPr>
      <w:r w:rsidRPr="00A375D7">
        <w:rPr>
          <w:sz w:val="22"/>
          <w:szCs w:val="22"/>
        </w:rPr>
        <w:t>This defense does not apply to a person who [(recklessly) (knowingly) (intentionally) placed himself in a situation where it was foreseeable that he would be subjected to duress] [committed an offense against the person as defined in IC 35-42].</w:t>
      </w:r>
    </w:p>
    <w:p w:rsidR="003E4301" w:rsidRPr="00A375D7" w:rsidRDefault="003E4301" w:rsidP="003E4301">
      <w:pPr>
        <w:widowControl/>
        <w:autoSpaceDE/>
        <w:autoSpaceDN/>
        <w:adjustRightInd/>
        <w:spacing w:before="100" w:beforeAutospacing="1" w:after="100" w:afterAutospacing="1"/>
        <w:rPr>
          <w:sz w:val="22"/>
          <w:szCs w:val="22"/>
        </w:rPr>
      </w:pPr>
      <w:r w:rsidRPr="00A375D7">
        <w:rPr>
          <w:sz w:val="22"/>
          <w:szCs w:val="22"/>
        </w:rPr>
        <w:t>The State has the burden of proving beyond a reasonable doubt that the Accused was not acting under duress.</w:t>
      </w:r>
    </w:p>
    <w:p w:rsidR="003E4301" w:rsidRPr="00A375D7" w:rsidRDefault="003E4301" w:rsidP="003E4301">
      <w:pPr>
        <w:widowControl/>
        <w:autoSpaceDE/>
        <w:autoSpaceDN/>
        <w:adjustRightInd/>
        <w:spacing w:before="100" w:beforeAutospacing="1" w:after="100" w:afterAutospacing="1"/>
        <w:outlineLvl w:val="1"/>
        <w:rPr>
          <w:sz w:val="22"/>
          <w:szCs w:val="22"/>
        </w:rPr>
      </w:pPr>
      <w:bookmarkStart w:id="1" w:name="_Toc480463926"/>
      <w:r w:rsidRPr="00A375D7">
        <w:rPr>
          <w:b/>
          <w:sz w:val="22"/>
          <w:szCs w:val="22"/>
        </w:rPr>
        <w:t>Authority</w:t>
      </w:r>
      <w:r w:rsidRPr="00A375D7">
        <w:rPr>
          <w:sz w:val="22"/>
          <w:szCs w:val="22"/>
        </w:rPr>
        <w:t>:  IN Pattern Instruction 10.1600.</w:t>
      </w:r>
      <w:bookmarkEnd w:id="1"/>
    </w:p>
    <w:p w:rsidR="003E4301" w:rsidRPr="00A375D7" w:rsidRDefault="003E4301" w:rsidP="003E4301">
      <w:pPr>
        <w:widowControl/>
        <w:autoSpaceDE/>
        <w:autoSpaceDN/>
        <w:adjustRightInd/>
        <w:spacing w:before="100" w:beforeAutospacing="1" w:after="100" w:afterAutospacing="1"/>
        <w:outlineLvl w:val="1"/>
        <w:rPr>
          <w:b/>
          <w:bCs/>
          <w:sz w:val="22"/>
          <w:szCs w:val="22"/>
        </w:rPr>
      </w:pPr>
      <w:bookmarkStart w:id="2" w:name="_Toc480463927"/>
      <w:r w:rsidRPr="00A375D7">
        <w:rPr>
          <w:b/>
          <w:sz w:val="22"/>
          <w:szCs w:val="22"/>
        </w:rPr>
        <w:t>Comments from Pattern Committee</w:t>
      </w:r>
      <w:bookmarkEnd w:id="2"/>
    </w:p>
    <w:p w:rsidR="003E4301" w:rsidRPr="00A375D7" w:rsidRDefault="003E4301" w:rsidP="003E4301">
      <w:pPr>
        <w:widowControl/>
        <w:autoSpaceDE/>
        <w:autoSpaceDN/>
        <w:adjustRightInd/>
        <w:spacing w:before="100" w:beforeAutospacing="1" w:after="100" w:afterAutospacing="1"/>
        <w:rPr>
          <w:sz w:val="22"/>
          <w:szCs w:val="22"/>
        </w:rPr>
      </w:pPr>
      <w:r w:rsidRPr="00A375D7">
        <w:rPr>
          <w:sz w:val="22"/>
          <w:szCs w:val="22"/>
        </w:rPr>
        <w:t>The following term is defined by law: “serious bodily injury” (I.C. 35-31.5-2-291; Instruction No. 14.3620).</w:t>
      </w:r>
    </w:p>
    <w:p w:rsidR="003E4301" w:rsidRPr="00A375D7" w:rsidRDefault="003E4301" w:rsidP="003E4301">
      <w:pPr>
        <w:widowControl/>
        <w:autoSpaceDE/>
        <w:autoSpaceDN/>
        <w:adjustRightInd/>
        <w:spacing w:before="100" w:beforeAutospacing="1" w:after="100" w:afterAutospacing="1"/>
        <w:rPr>
          <w:sz w:val="22"/>
          <w:szCs w:val="22"/>
        </w:rPr>
      </w:pPr>
      <w:r w:rsidRPr="00A375D7">
        <w:rPr>
          <w:sz w:val="22"/>
          <w:szCs w:val="22"/>
        </w:rPr>
        <w:t>No Indiana cases appear to have addressed expressly where the burden lies. P. Robinson, Criminal Law Defenses § 177(a) (West 1984) said in 1984 that the burden of persuasion “is often on the state, beyond a reasonable doubt,” but notes cases to the contrary in the main volume and the 2003 Pocket Part. The Committee has concluded that the best position is that the burden rests on the State.</w:t>
      </w:r>
    </w:p>
    <w:p w:rsidR="003E4301" w:rsidRPr="00A375D7" w:rsidRDefault="003E4301" w:rsidP="003E4301">
      <w:pPr>
        <w:rPr>
          <w:b/>
          <w:sz w:val="22"/>
          <w:szCs w:val="22"/>
        </w:rPr>
      </w:pPr>
    </w:p>
    <w:p w:rsidR="003E4301" w:rsidRPr="00A375D7" w:rsidRDefault="003E4301" w:rsidP="003E4301">
      <w:pPr>
        <w:rPr>
          <w:b/>
          <w:sz w:val="22"/>
          <w:szCs w:val="22"/>
        </w:rPr>
      </w:pPr>
      <w:r w:rsidRPr="00A375D7">
        <w:rPr>
          <w:b/>
          <w:sz w:val="22"/>
          <w:szCs w:val="22"/>
        </w:rPr>
        <w:t>Alternative Instruction</w:t>
      </w:r>
    </w:p>
    <w:p w:rsidR="003E4301" w:rsidRPr="00A375D7" w:rsidRDefault="003E4301" w:rsidP="003E4301">
      <w:pPr>
        <w:rPr>
          <w:b/>
          <w:sz w:val="22"/>
          <w:szCs w:val="22"/>
        </w:rPr>
      </w:pPr>
      <w:bookmarkStart w:id="3" w:name="_GoBack"/>
    </w:p>
    <w:bookmarkEnd w:id="3"/>
    <w:p w:rsidR="003E4301" w:rsidRPr="00A375D7" w:rsidRDefault="003E4301" w:rsidP="003E4301">
      <w:pPr>
        <w:rPr>
          <w:b/>
          <w:sz w:val="22"/>
          <w:szCs w:val="22"/>
        </w:rPr>
      </w:pPr>
      <w:r w:rsidRPr="00A375D7">
        <w:rPr>
          <w:b/>
          <w:sz w:val="22"/>
          <w:szCs w:val="22"/>
        </w:rPr>
        <w:t>I.C. 35-41-3-8</w:t>
      </w:r>
    </w:p>
    <w:p w:rsidR="003E4301" w:rsidRPr="00A375D7" w:rsidRDefault="003E4301" w:rsidP="003E4301">
      <w:pPr>
        <w:rPr>
          <w:sz w:val="22"/>
          <w:szCs w:val="22"/>
        </w:rPr>
      </w:pPr>
    </w:p>
    <w:p w:rsidR="003E4301" w:rsidRPr="00A375D7" w:rsidRDefault="003E4301" w:rsidP="003E4301">
      <w:pPr>
        <w:rPr>
          <w:sz w:val="22"/>
          <w:szCs w:val="22"/>
        </w:rPr>
      </w:pPr>
      <w:r w:rsidRPr="00A375D7">
        <w:rPr>
          <w:sz w:val="22"/>
          <w:szCs w:val="22"/>
        </w:rPr>
        <w:tab/>
        <w:t>Duress exists when the person who engaged in the prohibited conduct was compelled to do so by threat of imminent serious bodily injury to himself or another person. With respect to offenses other than felonies, if the person who engaged in the prohibited conduct was compelled to do so by force or threat of force, he is not guilty of a criminal offense. Compulsion under this section exists only if the force, threat, or circumstances are such as would render a reasonable person incapable of resisting the pressure.</w:t>
      </w:r>
    </w:p>
    <w:p w:rsidR="003E4301" w:rsidRPr="00A375D7" w:rsidRDefault="003E4301" w:rsidP="003E4301">
      <w:pPr>
        <w:rPr>
          <w:sz w:val="22"/>
          <w:szCs w:val="22"/>
        </w:rPr>
      </w:pPr>
    </w:p>
    <w:p w:rsidR="003E4301" w:rsidRPr="00A375D7" w:rsidRDefault="003E4301" w:rsidP="003E4301">
      <w:pPr>
        <w:rPr>
          <w:sz w:val="22"/>
          <w:szCs w:val="22"/>
        </w:rPr>
      </w:pPr>
      <w:r w:rsidRPr="00A375D7">
        <w:rPr>
          <w:sz w:val="22"/>
          <w:szCs w:val="22"/>
        </w:rPr>
        <w:tab/>
        <w:t xml:space="preserve">Duress </w:t>
      </w:r>
      <w:proofErr w:type="spellStart"/>
      <w:r w:rsidRPr="00A375D7">
        <w:rPr>
          <w:sz w:val="22"/>
          <w:szCs w:val="22"/>
        </w:rPr>
        <w:t>can not</w:t>
      </w:r>
      <w:proofErr w:type="spellEnd"/>
      <w:r w:rsidRPr="00A375D7">
        <w:rPr>
          <w:sz w:val="22"/>
          <w:szCs w:val="22"/>
        </w:rPr>
        <w:t xml:space="preserve"> apply to a person who (recklessly, knowingly, or intentionally placed himself in a situation in which it was foreseeable that he would be subjected to duress) (committed an offense against the person as defined in IC 35-42).</w:t>
      </w:r>
    </w:p>
    <w:p w:rsidR="003E4301" w:rsidRPr="00A375D7" w:rsidRDefault="003E4301" w:rsidP="003E4301">
      <w:pPr>
        <w:rPr>
          <w:sz w:val="22"/>
          <w:szCs w:val="22"/>
        </w:rPr>
      </w:pPr>
    </w:p>
    <w:p w:rsidR="003E4301" w:rsidRPr="00A375D7" w:rsidRDefault="003E4301" w:rsidP="003E4301">
      <w:pPr>
        <w:rPr>
          <w:sz w:val="22"/>
          <w:szCs w:val="22"/>
        </w:rPr>
      </w:pPr>
      <w:r w:rsidRPr="00A375D7">
        <w:rPr>
          <w:sz w:val="22"/>
          <w:szCs w:val="22"/>
        </w:rPr>
        <w:tab/>
        <w:t>The State has the burden of proving beyond a reasonable doubt that the accused did not act under duress.</w:t>
      </w:r>
    </w:p>
    <w:p w:rsidR="003E4301" w:rsidRPr="00A375D7" w:rsidRDefault="003E4301" w:rsidP="003E4301">
      <w:pPr>
        <w:rPr>
          <w:b/>
          <w:bCs/>
          <w:sz w:val="22"/>
          <w:szCs w:val="22"/>
        </w:rPr>
      </w:pPr>
    </w:p>
    <w:p w:rsidR="003E4301" w:rsidRPr="00A375D7" w:rsidRDefault="003E4301" w:rsidP="003E4301">
      <w:pPr>
        <w:rPr>
          <w:sz w:val="22"/>
          <w:szCs w:val="22"/>
        </w:rPr>
      </w:pPr>
      <w:r w:rsidRPr="00A375D7">
        <w:rPr>
          <w:b/>
          <w:bCs/>
          <w:sz w:val="22"/>
          <w:szCs w:val="22"/>
        </w:rPr>
        <w:t xml:space="preserve">Authority: </w:t>
      </w:r>
      <w:r w:rsidRPr="00A375D7">
        <w:rPr>
          <w:sz w:val="22"/>
          <w:szCs w:val="22"/>
        </w:rPr>
        <w:t>IN Pattern Instruction No. 10.13, modified under the same rationale as discussed in the alibi section, that duress isn’t really a “defense” because the state must disprove it.</w:t>
      </w:r>
    </w:p>
    <w:p w:rsidR="006B4EF6" w:rsidRDefault="006B4EF6" w:rsidP="006B4EF6">
      <w:pPr>
        <w:rPr>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2b44b268-7f64-4070-bb51-9a0985925933"/>
  </w:docVars>
  <w:rsids>
    <w:rsidRoot w:val="006B4EF6"/>
    <w:rsid w:val="003E4301"/>
    <w:rsid w:val="006B4EF6"/>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EBD0C-98B4-4F0A-80E8-741BB1A0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E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B4EF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EF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1ECFC359-7D4C-4C1A-B69A-62F178B1C3ED}"/>
</file>

<file path=customXml/itemProps2.xml><?xml version="1.0" encoding="utf-8"?>
<ds:datastoreItem xmlns:ds="http://schemas.openxmlformats.org/officeDocument/2006/customXml" ds:itemID="{6A5A7D33-563D-4429-9D5D-7F814C6930E4}"/>
</file>

<file path=customXml/itemProps3.xml><?xml version="1.0" encoding="utf-8"?>
<ds:datastoreItem xmlns:ds="http://schemas.openxmlformats.org/officeDocument/2006/customXml" ds:itemID="{24D65115-657B-43AB-A821-ED7FC108438A}"/>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2013-10-21T21:39:00Z</dcterms:created>
  <dcterms:modified xsi:type="dcterms:W3CDTF">2017-04-20T19:24:00Z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MediaServiceImageTags">
    <vt:lpwstr/>
  </property>
</Properties>
</file>