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2D" w:rsidRPr="003404D2" w:rsidRDefault="00A56A2D" w:rsidP="00A56A2D">
      <w:pPr>
        <w:pStyle w:val="Heading1"/>
        <w:jc w:val="center"/>
        <w:rPr>
          <w:sz w:val="28"/>
          <w:szCs w:val="28"/>
        </w:rPr>
      </w:pPr>
      <w:bookmarkStart w:id="0" w:name="_Toc369588995"/>
      <w:r w:rsidRPr="003404D2">
        <w:rPr>
          <w:sz w:val="28"/>
          <w:szCs w:val="28"/>
        </w:rPr>
        <w:t>10.5</w:t>
      </w:r>
      <w:proofErr w:type="gramStart"/>
      <w:r w:rsidRPr="003404D2">
        <w:rPr>
          <w:sz w:val="28"/>
          <w:szCs w:val="28"/>
        </w:rPr>
        <w:t>.  Accident</w:t>
      </w:r>
      <w:proofErr w:type="gramEnd"/>
      <w:r w:rsidRPr="003404D2">
        <w:rPr>
          <w:sz w:val="28"/>
          <w:szCs w:val="28"/>
        </w:rPr>
        <w:t xml:space="preserve"> </w:t>
      </w:r>
      <w:bookmarkEnd w:id="0"/>
    </w:p>
    <w:p w:rsidR="00A56A2D" w:rsidRDefault="00A56A2D" w:rsidP="00A56A2D">
      <w:pPr>
        <w:rPr>
          <w:sz w:val="22"/>
          <w:szCs w:val="22"/>
        </w:rPr>
      </w:pPr>
    </w:p>
    <w:p w:rsidR="00557EC1" w:rsidRDefault="00557EC1" w:rsidP="00557EC1">
      <w:pPr>
        <w:rPr>
          <w:sz w:val="22"/>
          <w:szCs w:val="22"/>
        </w:rPr>
      </w:pPr>
      <w:r>
        <w:rPr>
          <w:sz w:val="22"/>
          <w:szCs w:val="22"/>
        </w:rPr>
        <w:tab/>
        <w:t>If, after consideration of all the evidence, you have a reasonable doubt as to whether or not the __________ [insert act or omission which is charged] was an accident, you must resolve the doubt in favor of the defendant and [bring in a verdict of not guilty] [find criminal intent to be absent].  The State has the burden of disproving accident beyond a reasonable doubt.</w:t>
      </w:r>
    </w:p>
    <w:p w:rsidR="00557EC1" w:rsidRDefault="00557EC1" w:rsidP="00557EC1">
      <w:pPr>
        <w:rPr>
          <w:sz w:val="22"/>
          <w:szCs w:val="22"/>
        </w:rPr>
      </w:pPr>
    </w:p>
    <w:p w:rsidR="00557EC1" w:rsidRDefault="00557EC1" w:rsidP="00557EC1">
      <w:pPr>
        <w:rPr>
          <w:sz w:val="22"/>
          <w:szCs w:val="22"/>
        </w:rPr>
      </w:pPr>
      <w:r>
        <w:rPr>
          <w:b/>
          <w:bCs/>
          <w:sz w:val="22"/>
          <w:szCs w:val="22"/>
        </w:rPr>
        <w:t xml:space="preserve">Authority: </w:t>
      </w:r>
      <w:r>
        <w:rPr>
          <w:sz w:val="22"/>
          <w:szCs w:val="22"/>
        </w:rPr>
        <w:t xml:space="preserve">Pattern Instruction No. 10.1900 (withdrawn). </w:t>
      </w:r>
    </w:p>
    <w:p w:rsidR="00557EC1" w:rsidRDefault="00557EC1" w:rsidP="00557EC1">
      <w:pPr>
        <w:rPr>
          <w:sz w:val="22"/>
          <w:szCs w:val="22"/>
        </w:rPr>
      </w:pPr>
    </w:p>
    <w:p w:rsidR="00557EC1" w:rsidRPr="00A227E5" w:rsidRDefault="00557EC1" w:rsidP="00557EC1">
      <w:pPr>
        <w:rPr>
          <w:b/>
          <w:sz w:val="22"/>
          <w:szCs w:val="22"/>
        </w:rPr>
      </w:pPr>
      <w:r w:rsidRPr="00A227E5">
        <w:rPr>
          <w:b/>
          <w:sz w:val="22"/>
          <w:szCs w:val="22"/>
        </w:rPr>
        <w:t>Comment from Pattern Committee:</w:t>
      </w:r>
    </w:p>
    <w:p w:rsidR="00557EC1" w:rsidRDefault="00557EC1" w:rsidP="00557EC1">
      <w:pPr>
        <w:rPr>
          <w:sz w:val="22"/>
          <w:szCs w:val="22"/>
        </w:rPr>
      </w:pPr>
    </w:p>
    <w:p w:rsidR="00557EC1" w:rsidRPr="00CA5589" w:rsidRDefault="00557EC1" w:rsidP="00557EC1">
      <w:pPr>
        <w:widowControl/>
        <w:autoSpaceDE/>
        <w:autoSpaceDN/>
        <w:adjustRightInd/>
        <w:spacing w:before="100" w:beforeAutospacing="1" w:after="100" w:afterAutospacing="1"/>
        <w:rPr>
          <w:sz w:val="24"/>
          <w:szCs w:val="24"/>
        </w:rPr>
      </w:pPr>
      <w:r w:rsidRPr="00CA5589">
        <w:rPr>
          <w:sz w:val="24"/>
          <w:szCs w:val="24"/>
        </w:rPr>
        <w:t>The “accident” instruction formerly appearing here has been withdrawn.</w:t>
      </w:r>
    </w:p>
    <w:p w:rsidR="00557EC1" w:rsidRPr="00CA5589" w:rsidRDefault="00557EC1" w:rsidP="00557EC1">
      <w:pPr>
        <w:widowControl/>
        <w:autoSpaceDE/>
        <w:autoSpaceDN/>
        <w:adjustRightInd/>
        <w:spacing w:before="100" w:beforeAutospacing="1" w:after="100" w:afterAutospacing="1"/>
        <w:rPr>
          <w:sz w:val="24"/>
          <w:szCs w:val="24"/>
        </w:rPr>
      </w:pPr>
      <w:r w:rsidRPr="00CA5589">
        <w:rPr>
          <w:sz w:val="24"/>
          <w:szCs w:val="24"/>
        </w:rPr>
        <w:t>In reviewing this instruction and considering the “accident” “defense,” the Committee could not conceive of a situation in which the principles incorporated in an instruction on “accident” would not also be conveyed to the jury by the standard pattern charges on the elements of the crime, the State’s burden to prove, etc.</w:t>
      </w:r>
    </w:p>
    <w:p w:rsidR="00557EC1" w:rsidRPr="00557EC1" w:rsidRDefault="00557EC1" w:rsidP="00557EC1">
      <w:pPr>
        <w:widowControl/>
        <w:autoSpaceDE/>
        <w:autoSpaceDN/>
        <w:adjustRightInd/>
        <w:spacing w:before="100" w:beforeAutospacing="1" w:after="100" w:afterAutospacing="1"/>
        <w:rPr>
          <w:sz w:val="24"/>
          <w:szCs w:val="24"/>
        </w:rPr>
      </w:pPr>
      <w:r w:rsidRPr="00CA5589">
        <w:rPr>
          <w:sz w:val="24"/>
          <w:szCs w:val="24"/>
        </w:rPr>
        <w:t xml:space="preserve">The Committee also noted that the “accident” instruction appearing in prior versions of this work was taken from </w:t>
      </w:r>
      <w:r w:rsidRPr="00557EC1">
        <w:rPr>
          <w:i/>
          <w:sz w:val="24"/>
          <w:szCs w:val="24"/>
        </w:rPr>
        <w:t xml:space="preserve">Gunn v. State, </w:t>
      </w:r>
      <w:r w:rsidRPr="00557EC1">
        <w:rPr>
          <w:sz w:val="24"/>
          <w:szCs w:val="24"/>
        </w:rPr>
        <w:t xml:space="preserve">174 Ind. App. 26, 365 N.E.2d 1234 (1977), which reviewed a conviction for a 1973 homicide and accordingly did not apply the current Indiana Penal Code as revised in 1976. A number of decisions applying the present penal code and addressing “accident” instruction issues have not considered whether “accident” instructions are appropriate and, if so, how they ought to be worded. See, e.g., </w:t>
      </w:r>
      <w:r w:rsidRPr="00557EC1">
        <w:rPr>
          <w:i/>
          <w:sz w:val="24"/>
          <w:szCs w:val="24"/>
        </w:rPr>
        <w:t xml:space="preserve">Wrinkles v. State, </w:t>
      </w:r>
      <w:r w:rsidRPr="00557EC1">
        <w:rPr>
          <w:sz w:val="24"/>
          <w:szCs w:val="24"/>
        </w:rPr>
        <w:t>690 N.E.2d 1156 (Ind. 1977) (as State did not contest whether tendered “accident” instruction “stated the law,” Indiana Supreme Court did not address the issue).</w:t>
      </w:r>
    </w:p>
    <w:p w:rsidR="00557EC1" w:rsidRPr="00557EC1" w:rsidRDefault="00557EC1" w:rsidP="00557EC1">
      <w:pPr>
        <w:widowControl/>
        <w:autoSpaceDE/>
        <w:autoSpaceDN/>
        <w:adjustRightInd/>
        <w:spacing w:before="100" w:beforeAutospacing="1" w:after="100" w:afterAutospacing="1"/>
        <w:rPr>
          <w:sz w:val="24"/>
          <w:szCs w:val="24"/>
        </w:rPr>
      </w:pPr>
      <w:r w:rsidRPr="00557EC1">
        <w:rPr>
          <w:sz w:val="24"/>
          <w:szCs w:val="24"/>
        </w:rPr>
        <w:t>Recently, in an opinion later vacated by a grant of transfer to the Indiana Supreme Court, the Court of Appeals affirmed a ref</w:t>
      </w:r>
      <w:bookmarkStart w:id="1" w:name="_GoBack"/>
      <w:bookmarkEnd w:id="1"/>
      <w:r w:rsidRPr="00557EC1">
        <w:rPr>
          <w:sz w:val="24"/>
          <w:szCs w:val="24"/>
        </w:rPr>
        <w:t xml:space="preserve">usal to give the former “accident” Pattern Instruction 10.1900 in a criminal recklessness trial. </w:t>
      </w:r>
      <w:r w:rsidRPr="00557EC1">
        <w:rPr>
          <w:i/>
          <w:sz w:val="24"/>
          <w:szCs w:val="24"/>
        </w:rPr>
        <w:t>Springer v. State</w:t>
      </w:r>
      <w:r w:rsidRPr="00557EC1">
        <w:rPr>
          <w:sz w:val="24"/>
          <w:szCs w:val="24"/>
        </w:rPr>
        <w:t xml:space="preserve">, 779 N.E.2d 555, 562–63 (Ind. Ct. App. 2002), transfer granted, 792 N.E.2d 39 (Ind. 2003). The Court of Appeals’ opinion assessed this Comment and concluded that the former instruction could have been confusing in Springer’s case. The Court of Appeals did not rule out the possibility that “in the future a situation may be presented in which an accident instruction would be appropriate.” The Indiana Supreme Court adopted the opinion of the Court of Appeals’ reasoning that “were the jury to decide that the shooting was a result of an accident, there is no question that the jury could not find that he was reckless.” </w:t>
      </w:r>
      <w:r w:rsidRPr="00557EC1">
        <w:rPr>
          <w:i/>
          <w:sz w:val="24"/>
          <w:szCs w:val="24"/>
        </w:rPr>
        <w:t>Springer v. Stat</w:t>
      </w:r>
      <w:r w:rsidRPr="00557EC1">
        <w:rPr>
          <w:sz w:val="24"/>
          <w:szCs w:val="24"/>
        </w:rPr>
        <w:t>e, 798 N.E.2d 431 (Ind. 2003).</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56A2D"/>
    <w:rsid w:val="00557EC1"/>
    <w:rsid w:val="00574C54"/>
    <w:rsid w:val="009F4D54"/>
    <w:rsid w:val="00A5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9F31C-AC8E-4464-BBD3-15233E75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2D"/>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A56A2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A2D"/>
    <w:rPr>
      <w:rFonts w:ascii="Cambria" w:eastAsia="Times New Roman" w:hAnsi="Cambria" w:cs="Times New Roman"/>
      <w:b/>
      <w:bCs/>
      <w:kern w:val="32"/>
      <w:sz w:val="32"/>
      <w:szCs w:val="32"/>
    </w:rPr>
  </w:style>
  <w:style w:type="character" w:customStyle="1" w:styleId="SYSHYPERTEXT">
    <w:name w:val="SYS_HYPERTEXT"/>
    <w:rsid w:val="00A56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1584557-4C4A-47F0-871C-73E2BD31C9EF}"/>
</file>

<file path=customXml/itemProps2.xml><?xml version="1.0" encoding="utf-8"?>
<ds:datastoreItem xmlns:ds="http://schemas.openxmlformats.org/officeDocument/2006/customXml" ds:itemID="{291E8EFD-CA91-406D-BB49-F07B9BA38925}"/>
</file>

<file path=customXml/itemProps3.xml><?xml version="1.0" encoding="utf-8"?>
<ds:datastoreItem xmlns:ds="http://schemas.openxmlformats.org/officeDocument/2006/customXml" ds:itemID="{F43AAE5F-760E-4BC7-8989-FA9F8E7A3B7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Links>
    <vt:vector size="6" baseType="variant">
      <vt:variant>
        <vt:i4>3211369</vt:i4>
      </vt:variant>
      <vt:variant>
        <vt:i4>0</vt:i4>
      </vt:variant>
      <vt:variant>
        <vt:i4>0</vt:i4>
      </vt:variant>
      <vt:variant>
        <vt:i4>5</vt:i4>
      </vt:variant>
      <vt:variant>
        <vt:lpwstr>http://www.juryinstruction.com/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2017-04-20T19:18:00Z</dcterms:created>
  <dcterms:modified xsi:type="dcterms:W3CDTF">2017-04-20T19:18:00Z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