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95E1" w14:textId="502DFA3C" w:rsidR="003247AC" w:rsidRPr="003404D2" w:rsidRDefault="003247AC" w:rsidP="00EF1C1B">
      <w:pPr>
        <w:pStyle w:val="Heading1"/>
        <w:jc w:val="center"/>
        <w:rPr>
          <w:sz w:val="28"/>
          <w:szCs w:val="28"/>
        </w:rPr>
      </w:pPr>
      <w:bookmarkStart w:id="0" w:name="_Toc369588999"/>
      <w:r w:rsidRPr="003404D2">
        <w:rPr>
          <w:sz w:val="28"/>
          <w:szCs w:val="28"/>
        </w:rPr>
        <w:t>10.</w:t>
      </w:r>
      <w:r w:rsidR="006F6E76">
        <w:rPr>
          <w:sz w:val="28"/>
          <w:szCs w:val="28"/>
        </w:rPr>
        <w:t>4</w:t>
      </w:r>
      <w:r w:rsidR="00EF1C1B">
        <w:rPr>
          <w:sz w:val="28"/>
          <w:szCs w:val="28"/>
        </w:rPr>
        <w:t>9</w:t>
      </w:r>
      <w:r w:rsidRPr="003404D2">
        <w:rPr>
          <w:sz w:val="28"/>
          <w:szCs w:val="28"/>
        </w:rPr>
        <w:t xml:space="preserve">.  </w:t>
      </w:r>
      <w:bookmarkEnd w:id="0"/>
      <w:r w:rsidR="00EF1C1B" w:rsidRPr="00EF1C1B">
        <w:rPr>
          <w:sz w:val="28"/>
          <w:szCs w:val="28"/>
        </w:rPr>
        <w:t>Sexting Defense to Child Exploitation-Managing or Producing, Child Exploitation—Disseminating, Child Exploitation—Computer, Possession of Child Pornography, Child Exploitation—Performance or Incident, Child Exploitation—Disseminating or Exhibiting Matter, and Child Exploitation—By Computer.</w:t>
      </w:r>
    </w:p>
    <w:p w14:paraId="7701A457" w14:textId="77777777" w:rsidR="003247AC" w:rsidRDefault="003247AC" w:rsidP="003247AC">
      <w:pPr>
        <w:rPr>
          <w:sz w:val="22"/>
          <w:szCs w:val="22"/>
        </w:rPr>
      </w:pPr>
    </w:p>
    <w:p w14:paraId="150A8203" w14:textId="31DE69D5" w:rsidR="00476753" w:rsidRPr="006F6E76" w:rsidRDefault="006F6E76" w:rsidP="006F6E76">
      <w:pPr>
        <w:rPr>
          <w:b/>
          <w:sz w:val="22"/>
          <w:szCs w:val="22"/>
        </w:rPr>
      </w:pPr>
      <w:r w:rsidRPr="006F6E76">
        <w:rPr>
          <w:b/>
          <w:sz w:val="22"/>
          <w:szCs w:val="22"/>
        </w:rPr>
        <w:t>Ind. Code § 35-42-4-</w:t>
      </w:r>
      <w:r w:rsidR="00EF1C1B">
        <w:rPr>
          <w:b/>
          <w:sz w:val="22"/>
          <w:szCs w:val="22"/>
        </w:rPr>
        <w:t>4</w:t>
      </w:r>
      <w:r w:rsidRPr="006F6E76">
        <w:rPr>
          <w:b/>
          <w:sz w:val="22"/>
          <w:szCs w:val="22"/>
        </w:rPr>
        <w:t>(</w:t>
      </w:r>
      <w:r w:rsidR="00EF1C1B">
        <w:rPr>
          <w:b/>
          <w:sz w:val="22"/>
          <w:szCs w:val="22"/>
        </w:rPr>
        <w:t>f</w:t>
      </w:r>
      <w:r w:rsidRPr="006F6E76">
        <w:rPr>
          <w:b/>
          <w:sz w:val="22"/>
          <w:szCs w:val="22"/>
        </w:rPr>
        <w:t>)</w:t>
      </w:r>
      <w:r w:rsidR="00EF1C1B">
        <w:rPr>
          <w:b/>
          <w:sz w:val="22"/>
          <w:szCs w:val="22"/>
        </w:rPr>
        <w:t>.</w:t>
      </w:r>
    </w:p>
    <w:p w14:paraId="4F2A6FDA" w14:textId="3B27D945" w:rsidR="00476753" w:rsidRDefault="00476753" w:rsidP="00476753">
      <w:pPr>
        <w:rPr>
          <w:sz w:val="22"/>
          <w:szCs w:val="22"/>
        </w:rPr>
      </w:pPr>
    </w:p>
    <w:p w14:paraId="58B62372" w14:textId="77777777" w:rsidR="00EF1C1B" w:rsidRPr="00EF1C1B" w:rsidRDefault="00EF1C1B" w:rsidP="00EF1C1B">
      <w:pPr>
        <w:rPr>
          <w:sz w:val="22"/>
          <w:szCs w:val="22"/>
        </w:rPr>
      </w:pPr>
      <w:r w:rsidRPr="00EF1C1B">
        <w:rPr>
          <w:sz w:val="22"/>
          <w:szCs w:val="22"/>
        </w:rPr>
        <w:t>It is a defense to Child Exploitation if all the following apply:</w:t>
      </w:r>
    </w:p>
    <w:p w14:paraId="6EC19544" w14:textId="77777777" w:rsidR="00EF1C1B" w:rsidRDefault="00EF1C1B" w:rsidP="00EF1C1B">
      <w:pPr>
        <w:rPr>
          <w:sz w:val="22"/>
          <w:szCs w:val="22"/>
        </w:rPr>
      </w:pPr>
    </w:p>
    <w:p w14:paraId="5E7AA6C7" w14:textId="6EE08CDB" w:rsidR="00EF1C1B" w:rsidRPr="00EF1C1B" w:rsidRDefault="00EF1C1B" w:rsidP="00EF1C1B">
      <w:pPr>
        <w:pStyle w:val="ListParagraph"/>
        <w:numPr>
          <w:ilvl w:val="0"/>
          <w:numId w:val="5"/>
        </w:numPr>
        <w:rPr>
          <w:sz w:val="22"/>
          <w:szCs w:val="22"/>
        </w:rPr>
      </w:pPr>
      <w:r w:rsidRPr="00EF1C1B">
        <w:rPr>
          <w:sz w:val="22"/>
          <w:szCs w:val="22"/>
        </w:rPr>
        <w:t>a cellular telephone, another wireless or cellular communications device, or a social networking web site was used to possess, produce, or disseminate the image</w:t>
      </w:r>
    </w:p>
    <w:p w14:paraId="76E55583" w14:textId="77777777" w:rsidR="00EF1C1B" w:rsidRDefault="00EF1C1B" w:rsidP="00EF1C1B">
      <w:pPr>
        <w:rPr>
          <w:sz w:val="22"/>
          <w:szCs w:val="22"/>
        </w:rPr>
      </w:pPr>
    </w:p>
    <w:p w14:paraId="225CFC62" w14:textId="570E79A6" w:rsidR="00EF1C1B" w:rsidRDefault="00EF1C1B" w:rsidP="00EF1C1B">
      <w:pPr>
        <w:rPr>
          <w:sz w:val="22"/>
          <w:szCs w:val="22"/>
        </w:rPr>
      </w:pPr>
      <w:r w:rsidRPr="00EF1C1B">
        <w:rPr>
          <w:sz w:val="22"/>
          <w:szCs w:val="22"/>
        </w:rPr>
        <w:t>and</w:t>
      </w:r>
    </w:p>
    <w:p w14:paraId="615DC745" w14:textId="77777777" w:rsidR="00EF1C1B" w:rsidRPr="00EF1C1B" w:rsidRDefault="00EF1C1B" w:rsidP="00EF1C1B">
      <w:pPr>
        <w:rPr>
          <w:sz w:val="22"/>
          <w:szCs w:val="22"/>
        </w:rPr>
      </w:pPr>
    </w:p>
    <w:p w14:paraId="644AF824" w14:textId="43B0268D" w:rsidR="00EF1C1B" w:rsidRPr="00EF1C1B" w:rsidRDefault="00EF1C1B" w:rsidP="00EF1C1B">
      <w:pPr>
        <w:pStyle w:val="ListParagraph"/>
        <w:numPr>
          <w:ilvl w:val="0"/>
          <w:numId w:val="5"/>
        </w:numPr>
        <w:rPr>
          <w:sz w:val="22"/>
          <w:szCs w:val="22"/>
        </w:rPr>
      </w:pPr>
      <w:r w:rsidRPr="00EF1C1B">
        <w:rPr>
          <w:sz w:val="22"/>
          <w:szCs w:val="22"/>
        </w:rPr>
        <w:t>the defendant was not more than four (4) years older or younger than the person who was depicted in the image or who received the image</w:t>
      </w:r>
    </w:p>
    <w:p w14:paraId="0CDD92B9" w14:textId="77777777" w:rsidR="00EF1C1B" w:rsidRDefault="00EF1C1B" w:rsidP="00EF1C1B">
      <w:pPr>
        <w:rPr>
          <w:sz w:val="22"/>
          <w:szCs w:val="22"/>
        </w:rPr>
      </w:pPr>
    </w:p>
    <w:p w14:paraId="2B1E744A" w14:textId="2B52709D" w:rsidR="00EF1C1B" w:rsidRDefault="00EF1C1B" w:rsidP="00EF1C1B">
      <w:pPr>
        <w:rPr>
          <w:sz w:val="22"/>
          <w:szCs w:val="22"/>
        </w:rPr>
      </w:pPr>
      <w:r w:rsidRPr="00EF1C1B">
        <w:rPr>
          <w:sz w:val="22"/>
          <w:szCs w:val="22"/>
        </w:rPr>
        <w:t>and</w:t>
      </w:r>
    </w:p>
    <w:p w14:paraId="14B713B9" w14:textId="77777777" w:rsidR="00EF1C1B" w:rsidRPr="00EF1C1B" w:rsidRDefault="00EF1C1B" w:rsidP="00EF1C1B">
      <w:pPr>
        <w:rPr>
          <w:sz w:val="22"/>
          <w:szCs w:val="22"/>
        </w:rPr>
      </w:pPr>
    </w:p>
    <w:p w14:paraId="4A601459" w14:textId="1699E499" w:rsidR="00EF1C1B" w:rsidRPr="00EF1C1B" w:rsidRDefault="00EF1C1B" w:rsidP="00EF1C1B">
      <w:pPr>
        <w:pStyle w:val="ListParagraph"/>
        <w:numPr>
          <w:ilvl w:val="0"/>
          <w:numId w:val="5"/>
        </w:numPr>
        <w:rPr>
          <w:sz w:val="22"/>
          <w:szCs w:val="22"/>
        </w:rPr>
      </w:pPr>
      <w:r w:rsidRPr="00EF1C1B">
        <w:rPr>
          <w:sz w:val="22"/>
          <w:szCs w:val="22"/>
        </w:rPr>
        <w:t>the relationship between the defendant and the person who received the image or who is depicted in the image was (a dating relationship) (an ongoing personal relationship other than a family relationship)</w:t>
      </w:r>
    </w:p>
    <w:p w14:paraId="11CCABF0" w14:textId="77777777" w:rsidR="00EF1C1B" w:rsidRDefault="00EF1C1B" w:rsidP="00EF1C1B">
      <w:pPr>
        <w:rPr>
          <w:sz w:val="22"/>
          <w:szCs w:val="22"/>
        </w:rPr>
      </w:pPr>
    </w:p>
    <w:p w14:paraId="62F96F86" w14:textId="73ECC098" w:rsidR="00EF1C1B" w:rsidRDefault="00EF1C1B" w:rsidP="00EF1C1B">
      <w:pPr>
        <w:rPr>
          <w:sz w:val="22"/>
          <w:szCs w:val="22"/>
        </w:rPr>
      </w:pPr>
      <w:r w:rsidRPr="00EF1C1B">
        <w:rPr>
          <w:sz w:val="22"/>
          <w:szCs w:val="22"/>
        </w:rPr>
        <w:t>and</w:t>
      </w:r>
    </w:p>
    <w:p w14:paraId="5CA58014" w14:textId="77777777" w:rsidR="00EF1C1B" w:rsidRPr="00EF1C1B" w:rsidRDefault="00EF1C1B" w:rsidP="00EF1C1B">
      <w:pPr>
        <w:rPr>
          <w:sz w:val="22"/>
          <w:szCs w:val="22"/>
        </w:rPr>
      </w:pPr>
    </w:p>
    <w:p w14:paraId="163855AD" w14:textId="3768F342" w:rsidR="00EF1C1B" w:rsidRPr="00EF1C1B" w:rsidRDefault="00EF1C1B" w:rsidP="00EF1C1B">
      <w:pPr>
        <w:pStyle w:val="ListParagraph"/>
        <w:numPr>
          <w:ilvl w:val="0"/>
          <w:numId w:val="5"/>
        </w:numPr>
        <w:rPr>
          <w:sz w:val="22"/>
          <w:szCs w:val="22"/>
        </w:rPr>
      </w:pPr>
      <w:r w:rsidRPr="00EF1C1B">
        <w:rPr>
          <w:sz w:val="22"/>
          <w:szCs w:val="22"/>
        </w:rPr>
        <w:t>the Defendant was less than twenty-two (22) years of age at the time of the offense</w:t>
      </w:r>
    </w:p>
    <w:p w14:paraId="1F7A41C0" w14:textId="77777777" w:rsidR="00EF1C1B" w:rsidRDefault="00EF1C1B" w:rsidP="00EF1C1B">
      <w:pPr>
        <w:rPr>
          <w:sz w:val="22"/>
          <w:szCs w:val="22"/>
        </w:rPr>
      </w:pPr>
    </w:p>
    <w:p w14:paraId="0A3B9A34" w14:textId="303915A1" w:rsidR="00EF1C1B" w:rsidRDefault="00EF1C1B" w:rsidP="00EF1C1B">
      <w:pPr>
        <w:rPr>
          <w:sz w:val="22"/>
          <w:szCs w:val="22"/>
        </w:rPr>
      </w:pPr>
      <w:r w:rsidRPr="00EF1C1B">
        <w:rPr>
          <w:sz w:val="22"/>
          <w:szCs w:val="22"/>
        </w:rPr>
        <w:t>an</w:t>
      </w:r>
      <w:r>
        <w:rPr>
          <w:sz w:val="22"/>
          <w:szCs w:val="22"/>
        </w:rPr>
        <w:t>d</w:t>
      </w:r>
    </w:p>
    <w:p w14:paraId="18FF81C8" w14:textId="77777777" w:rsidR="00EF1C1B" w:rsidRPr="00EF1C1B" w:rsidRDefault="00EF1C1B" w:rsidP="00EF1C1B">
      <w:pPr>
        <w:rPr>
          <w:sz w:val="22"/>
          <w:szCs w:val="22"/>
        </w:rPr>
      </w:pPr>
    </w:p>
    <w:p w14:paraId="2B9773E4" w14:textId="5013791C" w:rsidR="00EF1C1B" w:rsidRPr="00EF1C1B" w:rsidRDefault="00EF1C1B" w:rsidP="00EF1C1B">
      <w:pPr>
        <w:pStyle w:val="ListParagraph"/>
        <w:numPr>
          <w:ilvl w:val="0"/>
          <w:numId w:val="5"/>
        </w:numPr>
        <w:rPr>
          <w:sz w:val="22"/>
          <w:szCs w:val="22"/>
        </w:rPr>
      </w:pPr>
      <w:r w:rsidRPr="00EF1C1B">
        <w:rPr>
          <w:sz w:val="22"/>
          <w:szCs w:val="22"/>
        </w:rPr>
        <w:t>the person who received the image or who was depicted in the image acquiesced in the Defendant’s conduct.</w:t>
      </w:r>
    </w:p>
    <w:p w14:paraId="62387C99" w14:textId="77777777" w:rsidR="00EF1C1B" w:rsidRDefault="00EF1C1B" w:rsidP="00EF1C1B">
      <w:pPr>
        <w:rPr>
          <w:sz w:val="22"/>
          <w:szCs w:val="22"/>
        </w:rPr>
      </w:pPr>
    </w:p>
    <w:p w14:paraId="6C45B1BD" w14:textId="0C097775" w:rsidR="00EF1C1B" w:rsidRPr="00EF1C1B" w:rsidRDefault="00EF1C1B" w:rsidP="00EF1C1B">
      <w:pPr>
        <w:rPr>
          <w:sz w:val="22"/>
          <w:szCs w:val="22"/>
        </w:rPr>
      </w:pPr>
      <w:r w:rsidRPr="00EF1C1B">
        <w:rPr>
          <w:sz w:val="22"/>
          <w:szCs w:val="22"/>
        </w:rPr>
        <w:t>The Defendant has the burden to prove this defense by the greater weight of the evidence.</w:t>
      </w:r>
    </w:p>
    <w:p w14:paraId="1EE74CC0" w14:textId="77777777" w:rsidR="00EF1C1B" w:rsidRDefault="00EF1C1B" w:rsidP="00EF1C1B">
      <w:pPr>
        <w:rPr>
          <w:sz w:val="22"/>
          <w:szCs w:val="22"/>
        </w:rPr>
      </w:pPr>
    </w:p>
    <w:p w14:paraId="48C09D8A" w14:textId="2C10E328" w:rsidR="00EF1C1B" w:rsidRPr="00EF1C1B" w:rsidRDefault="00EF1C1B" w:rsidP="00EF1C1B">
      <w:pPr>
        <w:rPr>
          <w:sz w:val="22"/>
          <w:szCs w:val="22"/>
        </w:rPr>
      </w:pPr>
      <w:r w:rsidRPr="00EF1C1B">
        <w:rPr>
          <w:sz w:val="22"/>
          <w:szCs w:val="22"/>
        </w:rPr>
        <w:t>The defense above does not apply if the State proves beyond a reasonable doubt that:</w:t>
      </w:r>
    </w:p>
    <w:p w14:paraId="206896F8" w14:textId="5E4B874A" w:rsidR="00EF1C1B" w:rsidRPr="00EF1C1B" w:rsidRDefault="00EF1C1B" w:rsidP="00EF1C1B">
      <w:pPr>
        <w:pStyle w:val="ListParagraph"/>
        <w:numPr>
          <w:ilvl w:val="0"/>
          <w:numId w:val="6"/>
        </w:numPr>
        <w:rPr>
          <w:sz w:val="22"/>
          <w:szCs w:val="22"/>
        </w:rPr>
      </w:pPr>
      <w:r w:rsidRPr="00EF1C1B">
        <w:rPr>
          <w:sz w:val="22"/>
          <w:szCs w:val="22"/>
        </w:rPr>
        <w:t>the person who received the image disseminated it to a person other than the person (who sent the image) (who was depicted in the image)</w:t>
      </w:r>
    </w:p>
    <w:p w14:paraId="013EC020" w14:textId="77777777" w:rsidR="00EF1C1B" w:rsidRDefault="00EF1C1B" w:rsidP="00EF1C1B">
      <w:pPr>
        <w:rPr>
          <w:sz w:val="22"/>
          <w:szCs w:val="22"/>
        </w:rPr>
      </w:pPr>
    </w:p>
    <w:p w14:paraId="677467C8" w14:textId="5F5D4E9C" w:rsidR="00EF1C1B" w:rsidRDefault="00EF1C1B" w:rsidP="00EF1C1B">
      <w:pPr>
        <w:rPr>
          <w:sz w:val="22"/>
          <w:szCs w:val="22"/>
        </w:rPr>
      </w:pPr>
      <w:r w:rsidRPr="00EF1C1B">
        <w:rPr>
          <w:sz w:val="22"/>
          <w:szCs w:val="22"/>
        </w:rPr>
        <w:t>(or)</w:t>
      </w:r>
    </w:p>
    <w:p w14:paraId="199D9F5A" w14:textId="77777777" w:rsidR="00EF1C1B" w:rsidRPr="00EF1C1B" w:rsidRDefault="00EF1C1B" w:rsidP="00EF1C1B">
      <w:pPr>
        <w:rPr>
          <w:sz w:val="22"/>
          <w:szCs w:val="22"/>
        </w:rPr>
      </w:pPr>
    </w:p>
    <w:p w14:paraId="77BE4CA1" w14:textId="73266D4A" w:rsidR="00EF1C1B" w:rsidRPr="00EF1C1B" w:rsidRDefault="00EF1C1B" w:rsidP="00EF1C1B">
      <w:pPr>
        <w:pStyle w:val="ListParagraph"/>
        <w:numPr>
          <w:ilvl w:val="0"/>
          <w:numId w:val="6"/>
        </w:numPr>
        <w:rPr>
          <w:sz w:val="22"/>
          <w:szCs w:val="22"/>
        </w:rPr>
      </w:pPr>
      <w:r w:rsidRPr="00EF1C1B">
        <w:rPr>
          <w:sz w:val="22"/>
          <w:szCs w:val="22"/>
        </w:rPr>
        <w:t>the image was of a person other than the person who sent the image or received the image</w:t>
      </w:r>
    </w:p>
    <w:p w14:paraId="14A86CD3" w14:textId="77777777" w:rsidR="00EF1C1B" w:rsidRDefault="00EF1C1B" w:rsidP="00EF1C1B">
      <w:pPr>
        <w:rPr>
          <w:sz w:val="22"/>
          <w:szCs w:val="22"/>
        </w:rPr>
      </w:pPr>
    </w:p>
    <w:p w14:paraId="5A8EA8AF" w14:textId="1C63958C" w:rsidR="00EF1C1B" w:rsidRDefault="00EF1C1B" w:rsidP="00EF1C1B">
      <w:pPr>
        <w:rPr>
          <w:sz w:val="22"/>
          <w:szCs w:val="22"/>
        </w:rPr>
      </w:pPr>
      <w:r w:rsidRPr="00EF1C1B">
        <w:rPr>
          <w:sz w:val="22"/>
          <w:szCs w:val="22"/>
        </w:rPr>
        <w:t>(or)</w:t>
      </w:r>
    </w:p>
    <w:p w14:paraId="336CECDC" w14:textId="77777777" w:rsidR="00EF1C1B" w:rsidRPr="00EF1C1B" w:rsidRDefault="00EF1C1B" w:rsidP="00EF1C1B">
      <w:pPr>
        <w:rPr>
          <w:sz w:val="22"/>
          <w:szCs w:val="22"/>
        </w:rPr>
      </w:pPr>
    </w:p>
    <w:p w14:paraId="2DEA2681" w14:textId="22DECE52" w:rsidR="00EF1C1B" w:rsidRPr="00EF1C1B" w:rsidRDefault="00EF1C1B" w:rsidP="00EF1C1B">
      <w:pPr>
        <w:pStyle w:val="ListParagraph"/>
        <w:numPr>
          <w:ilvl w:val="0"/>
          <w:numId w:val="6"/>
        </w:numPr>
        <w:rPr>
          <w:sz w:val="22"/>
          <w:szCs w:val="22"/>
        </w:rPr>
      </w:pPr>
      <w:r w:rsidRPr="00EF1C1B">
        <w:rPr>
          <w:sz w:val="22"/>
          <w:szCs w:val="22"/>
        </w:rPr>
        <w:t>the dissemination of the image violated:</w:t>
      </w:r>
    </w:p>
    <w:p w14:paraId="0AD3F00B" w14:textId="2F7ABF30" w:rsidR="00EF1C1B" w:rsidRDefault="00EF1C1B" w:rsidP="00EF1C1B">
      <w:pPr>
        <w:pStyle w:val="ListParagraph"/>
        <w:numPr>
          <w:ilvl w:val="0"/>
          <w:numId w:val="7"/>
        </w:numPr>
        <w:rPr>
          <w:sz w:val="22"/>
          <w:szCs w:val="22"/>
        </w:rPr>
      </w:pPr>
      <w:r w:rsidRPr="00EF1C1B">
        <w:rPr>
          <w:sz w:val="22"/>
          <w:szCs w:val="22"/>
        </w:rPr>
        <w:t xml:space="preserve">a protective order to prevent domestic or family violence issued under IC 34-26-5 (or, if the order involved a family or household member, under IC 34-26-2 or IC 34-4-5.1-5 before their </w:t>
      </w:r>
      <w:r w:rsidRPr="00EF1C1B">
        <w:rPr>
          <w:sz w:val="22"/>
          <w:szCs w:val="22"/>
        </w:rPr>
        <w:lastRenderedPageBreak/>
        <w:t>repeal)</w:t>
      </w:r>
    </w:p>
    <w:p w14:paraId="13055627" w14:textId="77777777" w:rsidR="00EF1C1B" w:rsidRPr="00EF1C1B" w:rsidRDefault="00EF1C1B" w:rsidP="00EF1C1B">
      <w:pPr>
        <w:rPr>
          <w:sz w:val="22"/>
          <w:szCs w:val="22"/>
        </w:rPr>
      </w:pPr>
    </w:p>
    <w:p w14:paraId="7FAC8CEA" w14:textId="7FBDCB71" w:rsidR="00EF1C1B" w:rsidRDefault="00EF1C1B" w:rsidP="00EF1C1B">
      <w:pPr>
        <w:rPr>
          <w:sz w:val="22"/>
          <w:szCs w:val="22"/>
        </w:rPr>
      </w:pPr>
      <w:r w:rsidRPr="00EF1C1B">
        <w:rPr>
          <w:sz w:val="22"/>
          <w:szCs w:val="22"/>
        </w:rPr>
        <w:t>(or)</w:t>
      </w:r>
    </w:p>
    <w:p w14:paraId="2F32A0FE" w14:textId="77777777" w:rsidR="00EF1C1B" w:rsidRPr="00EF1C1B" w:rsidRDefault="00EF1C1B" w:rsidP="00EF1C1B">
      <w:pPr>
        <w:rPr>
          <w:sz w:val="22"/>
          <w:szCs w:val="22"/>
        </w:rPr>
      </w:pPr>
    </w:p>
    <w:p w14:paraId="19A6F2AF" w14:textId="581AE400" w:rsidR="00EF1C1B" w:rsidRPr="00EF1C1B" w:rsidRDefault="00EF1C1B" w:rsidP="00EF1C1B">
      <w:pPr>
        <w:pStyle w:val="ListParagraph"/>
        <w:numPr>
          <w:ilvl w:val="0"/>
          <w:numId w:val="7"/>
        </w:numPr>
        <w:rPr>
          <w:sz w:val="22"/>
          <w:szCs w:val="22"/>
        </w:rPr>
      </w:pPr>
      <w:r w:rsidRPr="00EF1C1B">
        <w:rPr>
          <w:sz w:val="22"/>
          <w:szCs w:val="22"/>
        </w:rPr>
        <w:t xml:space="preserve">an ex </w:t>
      </w:r>
      <w:proofErr w:type="spellStart"/>
      <w:r w:rsidRPr="00EF1C1B">
        <w:rPr>
          <w:sz w:val="22"/>
          <w:szCs w:val="22"/>
        </w:rPr>
        <w:t>parte</w:t>
      </w:r>
      <w:proofErr w:type="spellEnd"/>
      <w:r w:rsidRPr="00EF1C1B">
        <w:rPr>
          <w:sz w:val="22"/>
          <w:szCs w:val="22"/>
        </w:rPr>
        <w:t xml:space="preserve"> protective order issued under IC 34-26-5 (or, if the order involved a family or household member, an emergency order issued under IC 34-26-2 or IC 34-4-5.1 before their repeal)</w:t>
      </w:r>
    </w:p>
    <w:p w14:paraId="48EF8B45" w14:textId="77777777" w:rsidR="00EF1C1B" w:rsidRDefault="00EF1C1B" w:rsidP="00EF1C1B">
      <w:pPr>
        <w:rPr>
          <w:sz w:val="22"/>
          <w:szCs w:val="22"/>
        </w:rPr>
      </w:pPr>
    </w:p>
    <w:p w14:paraId="34B8D8D9" w14:textId="75473CAC" w:rsidR="00EF1C1B" w:rsidRDefault="00EF1C1B" w:rsidP="00EF1C1B">
      <w:pPr>
        <w:rPr>
          <w:sz w:val="22"/>
          <w:szCs w:val="22"/>
        </w:rPr>
      </w:pPr>
      <w:r w:rsidRPr="00EF1C1B">
        <w:rPr>
          <w:sz w:val="22"/>
          <w:szCs w:val="22"/>
        </w:rPr>
        <w:t>(or)</w:t>
      </w:r>
    </w:p>
    <w:p w14:paraId="60ECBE23" w14:textId="77777777" w:rsidR="00EF1C1B" w:rsidRPr="00EF1C1B" w:rsidRDefault="00EF1C1B" w:rsidP="00EF1C1B">
      <w:pPr>
        <w:rPr>
          <w:sz w:val="22"/>
          <w:szCs w:val="22"/>
        </w:rPr>
      </w:pPr>
    </w:p>
    <w:p w14:paraId="3263DC4B" w14:textId="2C75E19F" w:rsidR="00EF1C1B" w:rsidRPr="00EF1C1B" w:rsidRDefault="00EF1C1B" w:rsidP="00EF1C1B">
      <w:pPr>
        <w:pStyle w:val="ListParagraph"/>
        <w:numPr>
          <w:ilvl w:val="0"/>
          <w:numId w:val="7"/>
        </w:numPr>
        <w:rPr>
          <w:sz w:val="22"/>
          <w:szCs w:val="22"/>
        </w:rPr>
      </w:pPr>
      <w:r w:rsidRPr="00EF1C1B">
        <w:rPr>
          <w:sz w:val="22"/>
          <w:szCs w:val="22"/>
        </w:rPr>
        <w:t>a workplace violence restraining order issued under IC 34-26-6</w:t>
      </w:r>
    </w:p>
    <w:p w14:paraId="354FB5E3" w14:textId="77777777" w:rsidR="00EF1C1B" w:rsidRDefault="00EF1C1B" w:rsidP="00EF1C1B">
      <w:pPr>
        <w:rPr>
          <w:sz w:val="22"/>
          <w:szCs w:val="22"/>
        </w:rPr>
      </w:pPr>
    </w:p>
    <w:p w14:paraId="3C06EC75" w14:textId="4E0194F7" w:rsidR="00EF1C1B" w:rsidRDefault="00EF1C1B" w:rsidP="00EF1C1B">
      <w:pPr>
        <w:rPr>
          <w:sz w:val="22"/>
          <w:szCs w:val="22"/>
        </w:rPr>
      </w:pPr>
      <w:r w:rsidRPr="00EF1C1B">
        <w:rPr>
          <w:sz w:val="22"/>
          <w:szCs w:val="22"/>
        </w:rPr>
        <w:t>(or)</w:t>
      </w:r>
    </w:p>
    <w:p w14:paraId="2DBC96DB" w14:textId="77777777" w:rsidR="00EF1C1B" w:rsidRPr="00EF1C1B" w:rsidRDefault="00EF1C1B" w:rsidP="00EF1C1B">
      <w:pPr>
        <w:rPr>
          <w:sz w:val="22"/>
          <w:szCs w:val="22"/>
        </w:rPr>
      </w:pPr>
    </w:p>
    <w:p w14:paraId="70AA1BB8" w14:textId="515C0B90" w:rsidR="00EF1C1B" w:rsidRPr="00EF1C1B" w:rsidRDefault="00EF1C1B" w:rsidP="00EF1C1B">
      <w:pPr>
        <w:pStyle w:val="ListParagraph"/>
        <w:numPr>
          <w:ilvl w:val="0"/>
          <w:numId w:val="7"/>
        </w:numPr>
        <w:rPr>
          <w:sz w:val="22"/>
          <w:szCs w:val="22"/>
        </w:rPr>
      </w:pPr>
      <w:r w:rsidRPr="00EF1C1B">
        <w:rPr>
          <w:sz w:val="22"/>
          <w:szCs w:val="22"/>
        </w:rPr>
        <w:t>a no contact order in a dispositional decree issued under </w:t>
      </w:r>
      <w:r w:rsidRPr="00AF4068">
        <w:rPr>
          <w:sz w:val="22"/>
          <w:szCs w:val="22"/>
        </w:rPr>
        <w:t>IC 31-34-20-1</w:t>
      </w:r>
      <w:r w:rsidRPr="00EF1C1B">
        <w:rPr>
          <w:sz w:val="22"/>
          <w:szCs w:val="22"/>
        </w:rPr>
        <w:t>, </w:t>
      </w:r>
      <w:r w:rsidRPr="00AF4068">
        <w:rPr>
          <w:sz w:val="22"/>
          <w:szCs w:val="22"/>
        </w:rPr>
        <w:t>IC 31-37-19-1</w:t>
      </w:r>
      <w:r w:rsidRPr="00EF1C1B">
        <w:rPr>
          <w:sz w:val="22"/>
          <w:szCs w:val="22"/>
        </w:rPr>
        <w:t>, or </w:t>
      </w:r>
      <w:r w:rsidRPr="00AF4068">
        <w:rPr>
          <w:sz w:val="22"/>
          <w:szCs w:val="22"/>
        </w:rPr>
        <w:t>IC 31-37-5-6</w:t>
      </w:r>
      <w:r w:rsidRPr="00EF1C1B">
        <w:rPr>
          <w:sz w:val="22"/>
          <w:szCs w:val="22"/>
        </w:rPr>
        <w:t> (or IC 31-6-4-15.4 or IC 31-6-4-15.9 before their repeal) or an order issued under IC 31-32-13 (or IC 31-6-7-14 before its repeal) that orders the person to refrain from direct or indirect contact with a child in need of services or a delinquent child</w:t>
      </w:r>
    </w:p>
    <w:p w14:paraId="53BDA720" w14:textId="77777777" w:rsidR="00EF1C1B" w:rsidRDefault="00EF1C1B" w:rsidP="00EF1C1B">
      <w:pPr>
        <w:rPr>
          <w:sz w:val="22"/>
          <w:szCs w:val="22"/>
        </w:rPr>
      </w:pPr>
    </w:p>
    <w:p w14:paraId="48F64C2B" w14:textId="44CBA675" w:rsidR="00EF1C1B" w:rsidRDefault="00EF1C1B" w:rsidP="00EF1C1B">
      <w:pPr>
        <w:rPr>
          <w:sz w:val="22"/>
          <w:szCs w:val="22"/>
        </w:rPr>
      </w:pPr>
      <w:r w:rsidRPr="00EF1C1B">
        <w:rPr>
          <w:sz w:val="22"/>
          <w:szCs w:val="22"/>
        </w:rPr>
        <w:t>(or)</w:t>
      </w:r>
    </w:p>
    <w:p w14:paraId="4ED10C24" w14:textId="77777777" w:rsidR="00EF1C1B" w:rsidRPr="00EF1C1B" w:rsidRDefault="00EF1C1B" w:rsidP="00EF1C1B">
      <w:pPr>
        <w:rPr>
          <w:sz w:val="22"/>
          <w:szCs w:val="22"/>
        </w:rPr>
      </w:pPr>
    </w:p>
    <w:p w14:paraId="2BD4DDDF" w14:textId="314F44BD" w:rsidR="00EF1C1B" w:rsidRPr="00EF1C1B" w:rsidRDefault="00EF1C1B" w:rsidP="00EF1C1B">
      <w:pPr>
        <w:pStyle w:val="ListParagraph"/>
        <w:numPr>
          <w:ilvl w:val="0"/>
          <w:numId w:val="7"/>
        </w:numPr>
        <w:rPr>
          <w:sz w:val="22"/>
          <w:szCs w:val="22"/>
        </w:rPr>
      </w:pPr>
      <w:r w:rsidRPr="00EF1C1B">
        <w:rPr>
          <w:sz w:val="22"/>
          <w:szCs w:val="22"/>
        </w:rPr>
        <w:t>a no contact order issued as a condition of pretrial release, including release on bail or personal recognizance, or pretrial diversion, and including a no contact order issued under </w:t>
      </w:r>
      <w:r w:rsidRPr="00AF4068">
        <w:rPr>
          <w:sz w:val="22"/>
          <w:szCs w:val="22"/>
        </w:rPr>
        <w:t>IC 35-33-8-3.6</w:t>
      </w:r>
    </w:p>
    <w:p w14:paraId="6EC8196A" w14:textId="77777777" w:rsidR="00EF1C1B" w:rsidRDefault="00EF1C1B" w:rsidP="00EF1C1B">
      <w:pPr>
        <w:rPr>
          <w:sz w:val="22"/>
          <w:szCs w:val="22"/>
        </w:rPr>
      </w:pPr>
    </w:p>
    <w:p w14:paraId="20507C18" w14:textId="0D83E462" w:rsidR="00EF1C1B" w:rsidRDefault="00EF1C1B" w:rsidP="00EF1C1B">
      <w:pPr>
        <w:rPr>
          <w:sz w:val="22"/>
          <w:szCs w:val="22"/>
        </w:rPr>
      </w:pPr>
      <w:r w:rsidRPr="00EF1C1B">
        <w:rPr>
          <w:sz w:val="22"/>
          <w:szCs w:val="22"/>
        </w:rPr>
        <w:t>(or)</w:t>
      </w:r>
    </w:p>
    <w:p w14:paraId="17DD343C" w14:textId="77777777" w:rsidR="00EF1C1B" w:rsidRPr="00EF1C1B" w:rsidRDefault="00EF1C1B" w:rsidP="00EF1C1B">
      <w:pPr>
        <w:rPr>
          <w:sz w:val="22"/>
          <w:szCs w:val="22"/>
        </w:rPr>
      </w:pPr>
    </w:p>
    <w:p w14:paraId="4AB57484" w14:textId="5920981C" w:rsidR="00EF1C1B" w:rsidRPr="00EF1C1B" w:rsidRDefault="00EF1C1B" w:rsidP="00EF1C1B">
      <w:pPr>
        <w:pStyle w:val="ListParagraph"/>
        <w:numPr>
          <w:ilvl w:val="0"/>
          <w:numId w:val="7"/>
        </w:numPr>
        <w:rPr>
          <w:sz w:val="22"/>
          <w:szCs w:val="22"/>
        </w:rPr>
      </w:pPr>
      <w:r w:rsidRPr="00EF1C1B">
        <w:rPr>
          <w:sz w:val="22"/>
          <w:szCs w:val="22"/>
        </w:rPr>
        <w:t>a no contact order issued as a condition of probation</w:t>
      </w:r>
    </w:p>
    <w:p w14:paraId="01A6D7BC" w14:textId="77777777" w:rsidR="00EF1C1B" w:rsidRDefault="00EF1C1B" w:rsidP="00EF1C1B">
      <w:pPr>
        <w:rPr>
          <w:sz w:val="22"/>
          <w:szCs w:val="22"/>
        </w:rPr>
      </w:pPr>
    </w:p>
    <w:p w14:paraId="2E43D6F4" w14:textId="78AF0748" w:rsidR="00EF1C1B" w:rsidRDefault="00EF1C1B" w:rsidP="00EF1C1B">
      <w:pPr>
        <w:rPr>
          <w:sz w:val="22"/>
          <w:szCs w:val="22"/>
        </w:rPr>
      </w:pPr>
      <w:r w:rsidRPr="00EF1C1B">
        <w:rPr>
          <w:sz w:val="22"/>
          <w:szCs w:val="22"/>
        </w:rPr>
        <w:t>(or)</w:t>
      </w:r>
    </w:p>
    <w:p w14:paraId="6DB75A01" w14:textId="77777777" w:rsidR="00EF1C1B" w:rsidRPr="00EF1C1B" w:rsidRDefault="00EF1C1B" w:rsidP="00EF1C1B">
      <w:pPr>
        <w:rPr>
          <w:sz w:val="22"/>
          <w:szCs w:val="22"/>
        </w:rPr>
      </w:pPr>
    </w:p>
    <w:p w14:paraId="7B9A10CD" w14:textId="58D2CC74" w:rsidR="00EF1C1B" w:rsidRPr="00EF1C1B" w:rsidRDefault="00EF1C1B" w:rsidP="00EF1C1B">
      <w:pPr>
        <w:pStyle w:val="ListParagraph"/>
        <w:numPr>
          <w:ilvl w:val="0"/>
          <w:numId w:val="7"/>
        </w:numPr>
        <w:rPr>
          <w:sz w:val="22"/>
          <w:szCs w:val="22"/>
        </w:rPr>
      </w:pPr>
      <w:r w:rsidRPr="00EF1C1B">
        <w:rPr>
          <w:sz w:val="22"/>
          <w:szCs w:val="22"/>
        </w:rPr>
        <w:t>a protective order to prevent domestic or family violence issued under IC 31-15-5 (or IC 31-16-5 or IC 31-1-11.5-8.2 before their repeal)</w:t>
      </w:r>
    </w:p>
    <w:p w14:paraId="073AAF5D" w14:textId="77777777" w:rsidR="00EF1C1B" w:rsidRDefault="00EF1C1B" w:rsidP="00EF1C1B">
      <w:pPr>
        <w:rPr>
          <w:sz w:val="22"/>
          <w:szCs w:val="22"/>
        </w:rPr>
      </w:pPr>
    </w:p>
    <w:p w14:paraId="60837139" w14:textId="71662FE4" w:rsidR="00EF1C1B" w:rsidRDefault="00EF1C1B" w:rsidP="00EF1C1B">
      <w:pPr>
        <w:rPr>
          <w:sz w:val="22"/>
          <w:szCs w:val="22"/>
        </w:rPr>
      </w:pPr>
      <w:r w:rsidRPr="00EF1C1B">
        <w:rPr>
          <w:sz w:val="22"/>
          <w:szCs w:val="22"/>
        </w:rPr>
        <w:t>(or)</w:t>
      </w:r>
    </w:p>
    <w:p w14:paraId="78482500" w14:textId="77777777" w:rsidR="00EF1C1B" w:rsidRPr="00EF1C1B" w:rsidRDefault="00EF1C1B" w:rsidP="00EF1C1B">
      <w:pPr>
        <w:rPr>
          <w:sz w:val="22"/>
          <w:szCs w:val="22"/>
        </w:rPr>
      </w:pPr>
    </w:p>
    <w:p w14:paraId="2D9B6F26" w14:textId="6947946B" w:rsidR="00EF1C1B" w:rsidRPr="00EF1C1B" w:rsidRDefault="00EF1C1B" w:rsidP="00EF1C1B">
      <w:pPr>
        <w:pStyle w:val="ListParagraph"/>
        <w:numPr>
          <w:ilvl w:val="0"/>
          <w:numId w:val="7"/>
        </w:numPr>
        <w:rPr>
          <w:sz w:val="22"/>
          <w:szCs w:val="22"/>
        </w:rPr>
      </w:pPr>
      <w:r w:rsidRPr="00EF1C1B">
        <w:rPr>
          <w:sz w:val="22"/>
          <w:szCs w:val="22"/>
        </w:rPr>
        <w:t>a protective order to prevent domestic or family violence issued under </w:t>
      </w:r>
      <w:r w:rsidRPr="00AF4068">
        <w:rPr>
          <w:sz w:val="22"/>
          <w:szCs w:val="22"/>
        </w:rPr>
        <w:t>IC 31-14-16-1</w:t>
      </w:r>
      <w:r w:rsidRPr="00EF1C1B">
        <w:rPr>
          <w:sz w:val="22"/>
          <w:szCs w:val="22"/>
        </w:rPr>
        <w:t> in a paternity action</w:t>
      </w:r>
    </w:p>
    <w:p w14:paraId="7BBB6C38" w14:textId="77777777" w:rsidR="00EF1C1B" w:rsidRDefault="00EF1C1B" w:rsidP="00EF1C1B">
      <w:pPr>
        <w:rPr>
          <w:sz w:val="22"/>
          <w:szCs w:val="22"/>
        </w:rPr>
      </w:pPr>
    </w:p>
    <w:p w14:paraId="3F03DDAC" w14:textId="3ED13A6E" w:rsidR="00EF1C1B" w:rsidRDefault="00EF1C1B" w:rsidP="00EF1C1B">
      <w:pPr>
        <w:rPr>
          <w:sz w:val="22"/>
          <w:szCs w:val="22"/>
        </w:rPr>
      </w:pPr>
      <w:r w:rsidRPr="00EF1C1B">
        <w:rPr>
          <w:sz w:val="22"/>
          <w:szCs w:val="22"/>
        </w:rPr>
        <w:t>(or)</w:t>
      </w:r>
    </w:p>
    <w:p w14:paraId="2F8FE858" w14:textId="77777777" w:rsidR="00EF1C1B" w:rsidRPr="00EF1C1B" w:rsidRDefault="00EF1C1B" w:rsidP="00EF1C1B">
      <w:pPr>
        <w:rPr>
          <w:sz w:val="22"/>
          <w:szCs w:val="22"/>
        </w:rPr>
      </w:pPr>
    </w:p>
    <w:p w14:paraId="125BD34C" w14:textId="786DA36E" w:rsidR="00EF1C1B" w:rsidRPr="00EF1C1B" w:rsidRDefault="00EF1C1B" w:rsidP="00EF1C1B">
      <w:pPr>
        <w:pStyle w:val="ListParagraph"/>
        <w:numPr>
          <w:ilvl w:val="0"/>
          <w:numId w:val="7"/>
        </w:numPr>
        <w:rPr>
          <w:sz w:val="22"/>
          <w:szCs w:val="22"/>
        </w:rPr>
      </w:pPr>
      <w:r w:rsidRPr="00EF1C1B">
        <w:rPr>
          <w:sz w:val="22"/>
          <w:szCs w:val="22"/>
        </w:rPr>
        <w:t>a no contact order issued under IC 31-34-25 in a child in need of services proceeding or under IC 31-37-25 in a juvenile delinquency proceeding</w:t>
      </w:r>
    </w:p>
    <w:p w14:paraId="34C8CD75" w14:textId="77777777" w:rsidR="00EF1C1B" w:rsidRDefault="00EF1C1B" w:rsidP="00EF1C1B">
      <w:pPr>
        <w:rPr>
          <w:sz w:val="22"/>
          <w:szCs w:val="22"/>
        </w:rPr>
      </w:pPr>
    </w:p>
    <w:p w14:paraId="67C5CCD8" w14:textId="167EC671" w:rsidR="00EF1C1B" w:rsidRDefault="00EF1C1B" w:rsidP="00EF1C1B">
      <w:pPr>
        <w:rPr>
          <w:sz w:val="22"/>
          <w:szCs w:val="22"/>
        </w:rPr>
      </w:pPr>
      <w:r w:rsidRPr="00EF1C1B">
        <w:rPr>
          <w:sz w:val="22"/>
          <w:szCs w:val="22"/>
        </w:rPr>
        <w:t>(or)</w:t>
      </w:r>
    </w:p>
    <w:p w14:paraId="188F94BA" w14:textId="77777777" w:rsidR="00EF1C1B" w:rsidRPr="00EF1C1B" w:rsidRDefault="00EF1C1B" w:rsidP="00EF1C1B">
      <w:pPr>
        <w:rPr>
          <w:sz w:val="22"/>
          <w:szCs w:val="22"/>
        </w:rPr>
      </w:pPr>
    </w:p>
    <w:p w14:paraId="2A506A30" w14:textId="3360DBC0" w:rsidR="00EF1C1B" w:rsidRPr="00EF1C1B" w:rsidRDefault="00EF1C1B" w:rsidP="00EF1C1B">
      <w:pPr>
        <w:pStyle w:val="ListParagraph"/>
        <w:numPr>
          <w:ilvl w:val="0"/>
          <w:numId w:val="7"/>
        </w:numPr>
        <w:rPr>
          <w:sz w:val="22"/>
          <w:szCs w:val="22"/>
        </w:rPr>
      </w:pPr>
      <w:r w:rsidRPr="00EF1C1B">
        <w:rPr>
          <w:sz w:val="22"/>
          <w:szCs w:val="22"/>
        </w:rPr>
        <w:t>an order issued in another state that is substantially similar to an order described in clauses (A) through (I)</w:t>
      </w:r>
    </w:p>
    <w:p w14:paraId="418B5F77" w14:textId="77777777" w:rsidR="00EF1C1B" w:rsidRDefault="00EF1C1B" w:rsidP="00EF1C1B">
      <w:pPr>
        <w:rPr>
          <w:sz w:val="22"/>
          <w:szCs w:val="22"/>
        </w:rPr>
      </w:pPr>
    </w:p>
    <w:p w14:paraId="6A06869B" w14:textId="1ADA3A64" w:rsidR="00EF1C1B" w:rsidRDefault="00EF1C1B" w:rsidP="00EF1C1B">
      <w:pPr>
        <w:rPr>
          <w:sz w:val="22"/>
          <w:szCs w:val="22"/>
        </w:rPr>
      </w:pPr>
      <w:r w:rsidRPr="00EF1C1B">
        <w:rPr>
          <w:sz w:val="22"/>
          <w:szCs w:val="22"/>
        </w:rPr>
        <w:t>(or</w:t>
      </w:r>
      <w:r>
        <w:rPr>
          <w:sz w:val="22"/>
          <w:szCs w:val="22"/>
        </w:rPr>
        <w:t>)</w:t>
      </w:r>
    </w:p>
    <w:p w14:paraId="40FEBFDB" w14:textId="77777777" w:rsidR="00EF1C1B" w:rsidRPr="00EF1C1B" w:rsidRDefault="00EF1C1B" w:rsidP="00EF1C1B">
      <w:pPr>
        <w:rPr>
          <w:sz w:val="22"/>
          <w:szCs w:val="22"/>
        </w:rPr>
      </w:pPr>
    </w:p>
    <w:p w14:paraId="1766D9FA" w14:textId="5E7B0C75" w:rsidR="00EF1C1B" w:rsidRPr="00EF1C1B" w:rsidRDefault="00EF1C1B" w:rsidP="00EF1C1B">
      <w:pPr>
        <w:pStyle w:val="ListParagraph"/>
        <w:numPr>
          <w:ilvl w:val="0"/>
          <w:numId w:val="7"/>
        </w:numPr>
        <w:rPr>
          <w:sz w:val="22"/>
          <w:szCs w:val="22"/>
        </w:rPr>
      </w:pPr>
      <w:r w:rsidRPr="00EF1C1B">
        <w:rPr>
          <w:sz w:val="22"/>
          <w:szCs w:val="22"/>
        </w:rPr>
        <w:lastRenderedPageBreak/>
        <w:t>an order that is substantially similar to an order described in clauses (A) through (I) and is issued by an Indian:</w:t>
      </w:r>
    </w:p>
    <w:p w14:paraId="5FC51459" w14:textId="159C81E7" w:rsidR="00EF1C1B" w:rsidRPr="00EF1C1B" w:rsidRDefault="00EF1C1B" w:rsidP="00EF1C1B">
      <w:pPr>
        <w:pStyle w:val="ListParagraph"/>
        <w:numPr>
          <w:ilvl w:val="2"/>
          <w:numId w:val="4"/>
        </w:numPr>
        <w:rPr>
          <w:sz w:val="22"/>
          <w:szCs w:val="22"/>
        </w:rPr>
      </w:pPr>
      <w:r w:rsidRPr="00EF1C1B">
        <w:rPr>
          <w:sz w:val="22"/>
          <w:szCs w:val="22"/>
        </w:rPr>
        <w:t>tribe;</w:t>
      </w:r>
    </w:p>
    <w:p w14:paraId="26AA93F1" w14:textId="1B0A07BB" w:rsidR="00EF1C1B" w:rsidRPr="00EF1C1B" w:rsidRDefault="00EF1C1B" w:rsidP="00EF1C1B">
      <w:pPr>
        <w:numPr>
          <w:ilvl w:val="2"/>
          <w:numId w:val="4"/>
        </w:numPr>
        <w:rPr>
          <w:sz w:val="22"/>
          <w:szCs w:val="22"/>
        </w:rPr>
      </w:pPr>
      <w:r w:rsidRPr="00EF1C1B">
        <w:rPr>
          <w:sz w:val="22"/>
          <w:szCs w:val="22"/>
        </w:rPr>
        <w:t>band;</w:t>
      </w:r>
    </w:p>
    <w:p w14:paraId="78FA56D2" w14:textId="66EE0EA0" w:rsidR="00EF1C1B" w:rsidRPr="00EF1C1B" w:rsidRDefault="00EF1C1B" w:rsidP="00EF1C1B">
      <w:pPr>
        <w:numPr>
          <w:ilvl w:val="2"/>
          <w:numId w:val="4"/>
        </w:numPr>
        <w:rPr>
          <w:sz w:val="22"/>
          <w:szCs w:val="22"/>
        </w:rPr>
      </w:pPr>
      <w:r w:rsidRPr="00EF1C1B">
        <w:rPr>
          <w:sz w:val="22"/>
          <w:szCs w:val="22"/>
        </w:rPr>
        <w:t>pueblo;</w:t>
      </w:r>
    </w:p>
    <w:p w14:paraId="36E1A110" w14:textId="157A9DF7" w:rsidR="00EF1C1B" w:rsidRPr="00EF1C1B" w:rsidRDefault="00EF1C1B" w:rsidP="00EF1C1B">
      <w:pPr>
        <w:numPr>
          <w:ilvl w:val="2"/>
          <w:numId w:val="4"/>
        </w:numPr>
        <w:rPr>
          <w:sz w:val="22"/>
          <w:szCs w:val="22"/>
        </w:rPr>
      </w:pPr>
      <w:r w:rsidRPr="00EF1C1B">
        <w:rPr>
          <w:sz w:val="22"/>
          <w:szCs w:val="22"/>
        </w:rPr>
        <w:t>nation; or</w:t>
      </w:r>
    </w:p>
    <w:p w14:paraId="08ECB683" w14:textId="3D524E9A" w:rsidR="00EF1C1B" w:rsidRPr="00EF1C1B" w:rsidRDefault="00EF1C1B" w:rsidP="00EF1C1B">
      <w:pPr>
        <w:numPr>
          <w:ilvl w:val="2"/>
          <w:numId w:val="4"/>
        </w:numPr>
        <w:rPr>
          <w:sz w:val="22"/>
          <w:szCs w:val="22"/>
        </w:rPr>
      </w:pPr>
      <w:r w:rsidRPr="00EF1C1B">
        <w:rPr>
          <w:sz w:val="22"/>
          <w:szCs w:val="22"/>
        </w:rPr>
        <w:t>organized group or community, including an Alaska Native village or regional or village corporation as defined in or established under the Alaska Native Claims Settlement Act (43 U.S.C. 1601 et seq.)</w:t>
      </w:r>
    </w:p>
    <w:p w14:paraId="6BD14C66" w14:textId="77777777" w:rsidR="00EF1C1B" w:rsidRDefault="00EF1C1B" w:rsidP="00EF1C1B">
      <w:pPr>
        <w:rPr>
          <w:sz w:val="22"/>
          <w:szCs w:val="22"/>
        </w:rPr>
      </w:pPr>
    </w:p>
    <w:p w14:paraId="7C226EF1" w14:textId="2B836BF4" w:rsidR="00EF1C1B" w:rsidRPr="00EF1C1B" w:rsidRDefault="00EF1C1B" w:rsidP="00AF4068">
      <w:pPr>
        <w:ind w:left="1440"/>
        <w:rPr>
          <w:sz w:val="22"/>
          <w:szCs w:val="22"/>
        </w:rPr>
      </w:pPr>
      <w:r w:rsidRPr="00EF1C1B">
        <w:rPr>
          <w:sz w:val="22"/>
          <w:szCs w:val="22"/>
        </w:rPr>
        <w:t>that is recognized as eligible for the special programs and services provided by the United States to Indians because of their special status as Indians</w:t>
      </w:r>
    </w:p>
    <w:p w14:paraId="36A842A7" w14:textId="77777777" w:rsidR="00AF4068" w:rsidRDefault="00AF4068" w:rsidP="00EF1C1B">
      <w:pPr>
        <w:rPr>
          <w:sz w:val="22"/>
          <w:szCs w:val="22"/>
        </w:rPr>
      </w:pPr>
    </w:p>
    <w:p w14:paraId="50070BF6" w14:textId="7011C467" w:rsidR="00EF1C1B" w:rsidRDefault="00EF1C1B" w:rsidP="00EF1C1B">
      <w:pPr>
        <w:rPr>
          <w:sz w:val="22"/>
          <w:szCs w:val="22"/>
        </w:rPr>
      </w:pPr>
      <w:r w:rsidRPr="00EF1C1B">
        <w:rPr>
          <w:sz w:val="22"/>
          <w:szCs w:val="22"/>
        </w:rPr>
        <w:t>(or)</w:t>
      </w:r>
    </w:p>
    <w:p w14:paraId="74A8850C" w14:textId="77777777" w:rsidR="00AF4068" w:rsidRPr="00EF1C1B" w:rsidRDefault="00AF4068" w:rsidP="00EF1C1B">
      <w:pPr>
        <w:rPr>
          <w:sz w:val="22"/>
          <w:szCs w:val="22"/>
        </w:rPr>
      </w:pPr>
    </w:p>
    <w:p w14:paraId="3962B250" w14:textId="60F43C2D" w:rsidR="00EF1C1B" w:rsidRPr="00AF4068" w:rsidRDefault="00EF1C1B" w:rsidP="00AF4068">
      <w:pPr>
        <w:pStyle w:val="ListParagraph"/>
        <w:numPr>
          <w:ilvl w:val="0"/>
          <w:numId w:val="7"/>
        </w:numPr>
        <w:rPr>
          <w:sz w:val="22"/>
          <w:szCs w:val="22"/>
        </w:rPr>
      </w:pPr>
      <w:r w:rsidRPr="00AF4068">
        <w:rPr>
          <w:sz w:val="22"/>
          <w:szCs w:val="22"/>
        </w:rPr>
        <w:t>an order issued under </w:t>
      </w:r>
      <w:r w:rsidRPr="00AF4068">
        <w:rPr>
          <w:sz w:val="22"/>
          <w:szCs w:val="22"/>
        </w:rPr>
        <w:t>IC 35-33-8-3.2</w:t>
      </w:r>
    </w:p>
    <w:p w14:paraId="7C99B915" w14:textId="77777777" w:rsidR="00AF4068" w:rsidRDefault="00AF4068" w:rsidP="00EF1C1B">
      <w:pPr>
        <w:rPr>
          <w:sz w:val="22"/>
          <w:szCs w:val="22"/>
        </w:rPr>
      </w:pPr>
    </w:p>
    <w:p w14:paraId="1A5F67A7" w14:textId="4CE80878" w:rsidR="00EF1C1B" w:rsidRDefault="00EF1C1B" w:rsidP="00EF1C1B">
      <w:pPr>
        <w:rPr>
          <w:sz w:val="22"/>
          <w:szCs w:val="22"/>
        </w:rPr>
      </w:pPr>
      <w:r w:rsidRPr="00EF1C1B">
        <w:rPr>
          <w:sz w:val="22"/>
          <w:szCs w:val="22"/>
        </w:rPr>
        <w:t>(or)</w:t>
      </w:r>
    </w:p>
    <w:p w14:paraId="7AB6ABC1" w14:textId="77777777" w:rsidR="00AF4068" w:rsidRPr="00EF1C1B" w:rsidRDefault="00AF4068" w:rsidP="00EF1C1B">
      <w:pPr>
        <w:rPr>
          <w:sz w:val="22"/>
          <w:szCs w:val="22"/>
        </w:rPr>
      </w:pPr>
    </w:p>
    <w:p w14:paraId="59183B2C" w14:textId="12240552" w:rsidR="00EF1C1B" w:rsidRPr="00AF4068" w:rsidRDefault="00EF1C1B" w:rsidP="00AF4068">
      <w:pPr>
        <w:pStyle w:val="ListParagraph"/>
        <w:numPr>
          <w:ilvl w:val="0"/>
          <w:numId w:val="7"/>
        </w:numPr>
        <w:rPr>
          <w:sz w:val="22"/>
          <w:szCs w:val="22"/>
        </w:rPr>
      </w:pPr>
      <w:r w:rsidRPr="00AF4068">
        <w:rPr>
          <w:sz w:val="22"/>
          <w:szCs w:val="22"/>
        </w:rPr>
        <w:t>an order issued under </w:t>
      </w:r>
      <w:r w:rsidRPr="00AF4068">
        <w:rPr>
          <w:sz w:val="22"/>
          <w:szCs w:val="22"/>
        </w:rPr>
        <w:t>IC 35-38-1-30</w:t>
      </w:r>
      <w:r w:rsidRPr="00AF4068">
        <w:rPr>
          <w:sz w:val="22"/>
          <w:szCs w:val="22"/>
        </w:rPr>
        <w:t>.</w:t>
      </w:r>
    </w:p>
    <w:p w14:paraId="02C6FBB8" w14:textId="26B3788B" w:rsidR="006F6E76" w:rsidRDefault="006F6E76" w:rsidP="00476753">
      <w:pPr>
        <w:rPr>
          <w:sz w:val="22"/>
          <w:szCs w:val="22"/>
        </w:rPr>
      </w:pPr>
    </w:p>
    <w:p w14:paraId="4E2436E7" w14:textId="77777777" w:rsidR="006F6E76" w:rsidRDefault="006F6E76" w:rsidP="00476753">
      <w:pPr>
        <w:rPr>
          <w:sz w:val="22"/>
          <w:szCs w:val="22"/>
        </w:rPr>
      </w:pPr>
    </w:p>
    <w:p w14:paraId="41A6C10C" w14:textId="1E4991D6" w:rsidR="00476753" w:rsidRDefault="00476753" w:rsidP="006F6E76">
      <w:pPr>
        <w:rPr>
          <w:sz w:val="22"/>
          <w:szCs w:val="22"/>
        </w:rPr>
      </w:pPr>
      <w:r>
        <w:rPr>
          <w:sz w:val="22"/>
          <w:szCs w:val="22"/>
        </w:rPr>
        <w:tab/>
      </w:r>
    </w:p>
    <w:p w14:paraId="3548D15C" w14:textId="77777777" w:rsidR="00476753" w:rsidRDefault="00476753" w:rsidP="00476753">
      <w:pPr>
        <w:numPr>
          <w:ilvl w:val="12"/>
          <w:numId w:val="0"/>
        </w:numPr>
        <w:rPr>
          <w:sz w:val="22"/>
          <w:szCs w:val="22"/>
        </w:rPr>
      </w:pPr>
    </w:p>
    <w:p w14:paraId="459494C2" w14:textId="52EFBA0F" w:rsidR="00476753" w:rsidRDefault="00476753" w:rsidP="00476753">
      <w:pPr>
        <w:numPr>
          <w:ilvl w:val="12"/>
          <w:numId w:val="0"/>
        </w:numPr>
        <w:rPr>
          <w:sz w:val="22"/>
          <w:szCs w:val="22"/>
        </w:rPr>
      </w:pPr>
      <w:r>
        <w:rPr>
          <w:b/>
          <w:bCs/>
          <w:sz w:val="22"/>
          <w:szCs w:val="22"/>
        </w:rPr>
        <w:t>Authority:</w:t>
      </w:r>
      <w:r>
        <w:rPr>
          <w:sz w:val="22"/>
          <w:szCs w:val="22"/>
        </w:rPr>
        <w:t xml:space="preserve"> IN Pattern Instruction No. </w:t>
      </w:r>
      <w:r w:rsidR="006F6E76">
        <w:rPr>
          <w:sz w:val="22"/>
          <w:szCs w:val="22"/>
        </w:rPr>
        <w:t>3</w:t>
      </w:r>
      <w:r>
        <w:rPr>
          <w:sz w:val="22"/>
          <w:szCs w:val="22"/>
        </w:rPr>
        <w:t>.</w:t>
      </w:r>
      <w:r w:rsidR="006F6E76">
        <w:rPr>
          <w:sz w:val="22"/>
          <w:szCs w:val="22"/>
        </w:rPr>
        <w:t>4</w:t>
      </w:r>
      <w:r w:rsidR="00AF4068">
        <w:rPr>
          <w:sz w:val="22"/>
          <w:szCs w:val="22"/>
        </w:rPr>
        <w:t>7</w:t>
      </w:r>
      <w:bookmarkStart w:id="1" w:name="_GoBack"/>
      <w:bookmarkEnd w:id="1"/>
      <w:r>
        <w:rPr>
          <w:sz w:val="22"/>
          <w:szCs w:val="22"/>
        </w:rPr>
        <w:t>00.</w:t>
      </w:r>
    </w:p>
    <w:p w14:paraId="701BA440" w14:textId="77777777" w:rsidR="00476753" w:rsidRDefault="00476753" w:rsidP="00476753">
      <w:pPr>
        <w:numPr>
          <w:ilvl w:val="12"/>
          <w:numId w:val="0"/>
        </w:numPr>
        <w:rPr>
          <w:sz w:val="22"/>
          <w:szCs w:val="22"/>
        </w:rPr>
      </w:pPr>
    </w:p>
    <w:p w14:paraId="6F7919EB" w14:textId="55EC3990" w:rsidR="00476753" w:rsidRDefault="00476753" w:rsidP="00476753">
      <w:pPr>
        <w:numPr>
          <w:ilvl w:val="12"/>
          <w:numId w:val="0"/>
        </w:numPr>
        <w:rPr>
          <w:b/>
          <w:sz w:val="22"/>
          <w:szCs w:val="22"/>
        </w:rPr>
      </w:pPr>
      <w:r w:rsidRPr="000C3942">
        <w:rPr>
          <w:b/>
          <w:sz w:val="22"/>
          <w:szCs w:val="22"/>
        </w:rPr>
        <w:t>Comments from Pattern Committee</w:t>
      </w:r>
    </w:p>
    <w:p w14:paraId="626922ED" w14:textId="77777777" w:rsidR="006F6E76" w:rsidRDefault="006F6E76" w:rsidP="00476753">
      <w:pPr>
        <w:numPr>
          <w:ilvl w:val="12"/>
          <w:numId w:val="0"/>
        </w:numPr>
        <w:rPr>
          <w:sz w:val="22"/>
          <w:szCs w:val="22"/>
        </w:rPr>
      </w:pPr>
    </w:p>
    <w:p w14:paraId="6C51280A" w14:textId="73B7BB2A" w:rsidR="00AF4068" w:rsidRPr="00AF4068" w:rsidRDefault="00AF4068" w:rsidP="00AF4068">
      <w:pPr>
        <w:rPr>
          <w:sz w:val="24"/>
          <w:szCs w:val="24"/>
        </w:rPr>
      </w:pPr>
      <w:r w:rsidRPr="00AF4068">
        <w:rPr>
          <w:sz w:val="24"/>
          <w:szCs w:val="24"/>
        </w:rPr>
        <w:t>This instruction can be used when the defense is invoked in prosecutions for Child Exploitation—Managing or Producing, Instruction No. 3.4180; Child Exploitation—Disseminating, Instruction No. 3.4220; Child Exploitation—Computer, Instruction No. 3.4260; Possession of Child Pornography, Instruction No. 3.4600; Child Exploitation—Performance or Incident, Instruction No. 3.4300; Child Exploitation—Disseminating or Exhibiting Matter. Instruction No. 3.4340; and Child Exploitation—By Computer, Instruction No. 3.4380.</w:t>
      </w:r>
    </w:p>
    <w:p w14:paraId="6988519F" w14:textId="77777777" w:rsidR="00AF4068" w:rsidRDefault="00AF4068" w:rsidP="00AF4068">
      <w:pPr>
        <w:rPr>
          <w:sz w:val="24"/>
          <w:szCs w:val="24"/>
        </w:rPr>
      </w:pPr>
    </w:p>
    <w:p w14:paraId="0079EBE4" w14:textId="78658410" w:rsidR="00AF4068" w:rsidRPr="00AF4068" w:rsidRDefault="00AF4068" w:rsidP="00AF4068">
      <w:pPr>
        <w:rPr>
          <w:sz w:val="24"/>
          <w:szCs w:val="24"/>
        </w:rPr>
      </w:pPr>
      <w:r w:rsidRPr="00AF4068">
        <w:rPr>
          <w:sz w:val="24"/>
          <w:szCs w:val="24"/>
        </w:rPr>
        <w:t>The court should instruct separately on the greater weight of the evidence by using Model Civil Jury Instruction No. 111:</w:t>
      </w:r>
    </w:p>
    <w:p w14:paraId="5A88BA21" w14:textId="77777777" w:rsidR="00AF4068" w:rsidRDefault="00AF4068" w:rsidP="00AF4068">
      <w:pPr>
        <w:rPr>
          <w:sz w:val="24"/>
          <w:szCs w:val="24"/>
        </w:rPr>
      </w:pPr>
    </w:p>
    <w:p w14:paraId="605B3ECD" w14:textId="2DB02BB0" w:rsidR="00AF4068" w:rsidRPr="00AF4068" w:rsidRDefault="00AF4068" w:rsidP="00AF4068">
      <w:pPr>
        <w:ind w:left="720"/>
        <w:rPr>
          <w:sz w:val="24"/>
          <w:szCs w:val="24"/>
        </w:rPr>
      </w:pPr>
      <w:r w:rsidRPr="00AF4068">
        <w:rPr>
          <w:sz w:val="24"/>
          <w:szCs w:val="24"/>
        </w:rPr>
        <w:t>Evidence is of the greater weight if it convinces you more strongly of its truthfulness. It is evidence that convinces you that something is more probably true than not true.</w:t>
      </w:r>
    </w:p>
    <w:p w14:paraId="644B7ED6" w14:textId="77777777" w:rsidR="00AF4068" w:rsidRDefault="00AF4068" w:rsidP="00AF4068">
      <w:pPr>
        <w:rPr>
          <w:sz w:val="24"/>
          <w:szCs w:val="24"/>
        </w:rPr>
      </w:pPr>
    </w:p>
    <w:p w14:paraId="2785286D" w14:textId="3F4DCC8E" w:rsidR="00AF4068" w:rsidRDefault="00AF4068" w:rsidP="00AF4068">
      <w:pPr>
        <w:ind w:left="720"/>
        <w:rPr>
          <w:sz w:val="24"/>
          <w:szCs w:val="24"/>
        </w:rPr>
      </w:pPr>
      <w:r w:rsidRPr="00AF4068">
        <w:rPr>
          <w:sz w:val="24"/>
          <w:szCs w:val="24"/>
        </w:rPr>
        <w:t>A greater number of witnesses testifying to a fact on one side or a greater quantity of evidence introduced on one side does not necessarily amount to the greater weight of the evidence.</w:t>
      </w:r>
    </w:p>
    <w:p w14:paraId="26AD443F" w14:textId="77777777" w:rsidR="00AF4068" w:rsidRPr="00AF4068" w:rsidRDefault="00AF4068" w:rsidP="00AF4068">
      <w:pPr>
        <w:ind w:left="720"/>
        <w:rPr>
          <w:sz w:val="24"/>
          <w:szCs w:val="24"/>
        </w:rPr>
      </w:pPr>
    </w:p>
    <w:p w14:paraId="3A6C9665" w14:textId="601FE480" w:rsidR="00AF4068" w:rsidRDefault="00AF4068" w:rsidP="00AF4068">
      <w:pPr>
        <w:rPr>
          <w:sz w:val="24"/>
          <w:szCs w:val="24"/>
        </w:rPr>
      </w:pPr>
      <w:r w:rsidRPr="00AF4068">
        <w:rPr>
          <w:sz w:val="24"/>
          <w:szCs w:val="24"/>
        </w:rPr>
        <w:t>The statute creating the defense does not expressly state whether the legislature intended that the accused has the burden to prove the defense. The Committee believes the burden may be properly assigned to the defendant, based on caselaw:</w:t>
      </w:r>
    </w:p>
    <w:p w14:paraId="428DE482" w14:textId="77777777" w:rsidR="00AF4068" w:rsidRPr="00AF4068" w:rsidRDefault="00AF4068" w:rsidP="00AF4068">
      <w:pPr>
        <w:rPr>
          <w:sz w:val="24"/>
          <w:szCs w:val="24"/>
        </w:rPr>
      </w:pPr>
    </w:p>
    <w:p w14:paraId="72D26E64" w14:textId="23BD0D94" w:rsidR="00AF4068" w:rsidRDefault="00AF4068" w:rsidP="00AF4068">
      <w:pPr>
        <w:ind w:left="720"/>
        <w:rPr>
          <w:sz w:val="24"/>
          <w:szCs w:val="24"/>
        </w:rPr>
      </w:pPr>
      <w:r w:rsidRPr="00AF4068">
        <w:rPr>
          <w:sz w:val="24"/>
          <w:szCs w:val="24"/>
        </w:rPr>
        <w:lastRenderedPageBreak/>
        <w:t>The burden of proving a defense may be placed on the defendant so long as proving the defense does not require the defendant to negate an element of the crime. </w:t>
      </w:r>
      <w:r w:rsidRPr="00AF4068">
        <w:rPr>
          <w:i/>
          <w:iCs/>
          <w:sz w:val="24"/>
          <w:szCs w:val="24"/>
        </w:rPr>
        <w:t>Martin v. Ohio</w:t>
      </w:r>
      <w:r w:rsidRPr="00AF4068">
        <w:rPr>
          <w:sz w:val="24"/>
          <w:szCs w:val="24"/>
        </w:rPr>
        <w:t>, 480 U.S. 228, 233–34, 107 S. Ct. 1098, 94 L. Ed. 2d 267 (1987). If the defense specifically negates an element of the crime, however, the State has the burden to prove beyond a reasonable doubt the absence of the defense. </w:t>
      </w:r>
      <w:r w:rsidRPr="00AF4068">
        <w:rPr>
          <w:i/>
          <w:iCs/>
          <w:sz w:val="24"/>
          <w:szCs w:val="24"/>
        </w:rPr>
        <w:t>Blatchford v. State</w:t>
      </w:r>
      <w:r w:rsidRPr="00AF4068">
        <w:rPr>
          <w:sz w:val="24"/>
          <w:szCs w:val="24"/>
        </w:rPr>
        <w:t>, 673 N.E.2d 781, 782 (Ind. Ct. App. 1996).</w:t>
      </w:r>
    </w:p>
    <w:p w14:paraId="5EC6DE43" w14:textId="77777777" w:rsidR="00AF4068" w:rsidRPr="00AF4068" w:rsidRDefault="00AF4068" w:rsidP="00AF4068">
      <w:pPr>
        <w:ind w:left="720"/>
        <w:rPr>
          <w:sz w:val="24"/>
          <w:szCs w:val="24"/>
        </w:rPr>
      </w:pPr>
    </w:p>
    <w:p w14:paraId="0DE1DA08" w14:textId="7DF89719" w:rsidR="00AF4068" w:rsidRPr="00AF4068" w:rsidRDefault="00AF4068" w:rsidP="00AF4068">
      <w:pPr>
        <w:rPr>
          <w:sz w:val="24"/>
          <w:szCs w:val="24"/>
        </w:rPr>
      </w:pPr>
      <w:r w:rsidRPr="00AF4068">
        <w:rPr>
          <w:i/>
          <w:iCs/>
          <w:sz w:val="24"/>
          <w:szCs w:val="24"/>
        </w:rPr>
        <w:t>Moon v. State</w:t>
      </w:r>
      <w:r w:rsidRPr="00AF4068">
        <w:rPr>
          <w:sz w:val="24"/>
          <w:szCs w:val="24"/>
        </w:rPr>
        <w:t>, 823 N.E.2d 710, 714 (Ind. Ct. App. 2005).</w:t>
      </w:r>
    </w:p>
    <w:p w14:paraId="1DED3B9A" w14:textId="77777777" w:rsidR="00AF4068" w:rsidRDefault="00AF4068" w:rsidP="006F6E76">
      <w:pPr>
        <w:rPr>
          <w:sz w:val="24"/>
          <w:szCs w:val="24"/>
        </w:rPr>
      </w:pPr>
    </w:p>
    <w:p w14:paraId="343E647C" w14:textId="77777777"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077D"/>
    <w:multiLevelType w:val="hybridMultilevel"/>
    <w:tmpl w:val="98EE8E78"/>
    <w:lvl w:ilvl="0" w:tplc="CF849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42121"/>
    <w:multiLevelType w:val="multilevel"/>
    <w:tmpl w:val="31C6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10C96"/>
    <w:multiLevelType w:val="multilevel"/>
    <w:tmpl w:val="200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80DAA"/>
    <w:multiLevelType w:val="hybridMultilevel"/>
    <w:tmpl w:val="DBA2591A"/>
    <w:lvl w:ilvl="0" w:tplc="121AC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00C2F"/>
    <w:multiLevelType w:val="multilevel"/>
    <w:tmpl w:val="26C6DD5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68DC7DC5"/>
    <w:multiLevelType w:val="multilevel"/>
    <w:tmpl w:val="605E8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827CD"/>
    <w:multiLevelType w:val="hybridMultilevel"/>
    <w:tmpl w:val="7EF61630"/>
    <w:lvl w:ilvl="0" w:tplc="4B52E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c0c97795-667f-4393-931a-2978884ee4f2"/>
  </w:docVars>
  <w:rsids>
    <w:rsidRoot w:val="003247AC"/>
    <w:rsid w:val="003247AC"/>
    <w:rsid w:val="00476753"/>
    <w:rsid w:val="004D5622"/>
    <w:rsid w:val="006F6E76"/>
    <w:rsid w:val="009F4D54"/>
    <w:rsid w:val="00AE72E1"/>
    <w:rsid w:val="00AF4068"/>
    <w:rsid w:val="00EF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5226"/>
  <w15:docId w15:val="{5E6EC143-D3FC-4BB1-B233-80C9AD2A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247A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1C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7AC"/>
    <w:rPr>
      <w:rFonts w:ascii="Cambria" w:eastAsia="Times New Roman" w:hAnsi="Cambria" w:cs="Times New Roman"/>
      <w:b/>
      <w:bCs/>
      <w:kern w:val="32"/>
      <w:sz w:val="32"/>
      <w:szCs w:val="32"/>
    </w:rPr>
  </w:style>
  <w:style w:type="paragraph" w:customStyle="1" w:styleId="Level1">
    <w:name w:val="Level 1"/>
    <w:rsid w:val="003247A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6E76"/>
    <w:rPr>
      <w:color w:val="0000FF" w:themeColor="hyperlink"/>
      <w:u w:val="single"/>
    </w:rPr>
  </w:style>
  <w:style w:type="character" w:styleId="UnresolvedMention">
    <w:name w:val="Unresolved Mention"/>
    <w:basedOn w:val="DefaultParagraphFont"/>
    <w:uiPriority w:val="99"/>
    <w:semiHidden/>
    <w:unhideWhenUsed/>
    <w:rsid w:val="006F6E76"/>
    <w:rPr>
      <w:color w:val="605E5C"/>
      <w:shd w:val="clear" w:color="auto" w:fill="E1DFDD"/>
    </w:rPr>
  </w:style>
  <w:style w:type="character" w:customStyle="1" w:styleId="Heading2Char">
    <w:name w:val="Heading 2 Char"/>
    <w:basedOn w:val="DefaultParagraphFont"/>
    <w:link w:val="Heading2"/>
    <w:uiPriority w:val="9"/>
    <w:semiHidden/>
    <w:rsid w:val="00EF1C1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F1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39706">
      <w:bodyDiv w:val="1"/>
      <w:marLeft w:val="0"/>
      <w:marRight w:val="0"/>
      <w:marTop w:val="0"/>
      <w:marBottom w:val="0"/>
      <w:divBdr>
        <w:top w:val="none" w:sz="0" w:space="0" w:color="auto"/>
        <w:left w:val="none" w:sz="0" w:space="0" w:color="auto"/>
        <w:bottom w:val="none" w:sz="0" w:space="0" w:color="auto"/>
        <w:right w:val="none" w:sz="0" w:space="0" w:color="auto"/>
      </w:divBdr>
    </w:div>
    <w:div w:id="649215860">
      <w:bodyDiv w:val="1"/>
      <w:marLeft w:val="0"/>
      <w:marRight w:val="0"/>
      <w:marTop w:val="0"/>
      <w:marBottom w:val="0"/>
      <w:divBdr>
        <w:top w:val="none" w:sz="0" w:space="0" w:color="auto"/>
        <w:left w:val="none" w:sz="0" w:space="0" w:color="auto"/>
        <w:bottom w:val="none" w:sz="0" w:space="0" w:color="auto"/>
        <w:right w:val="none" w:sz="0" w:space="0" w:color="auto"/>
      </w:divBdr>
      <w:divsChild>
        <w:div w:id="131386806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76465309">
      <w:bodyDiv w:val="1"/>
      <w:marLeft w:val="0"/>
      <w:marRight w:val="0"/>
      <w:marTop w:val="0"/>
      <w:marBottom w:val="0"/>
      <w:divBdr>
        <w:top w:val="none" w:sz="0" w:space="0" w:color="auto"/>
        <w:left w:val="none" w:sz="0" w:space="0" w:color="auto"/>
        <w:bottom w:val="none" w:sz="0" w:space="0" w:color="auto"/>
        <w:right w:val="none" w:sz="0" w:space="0" w:color="auto"/>
      </w:divBdr>
    </w:div>
    <w:div w:id="1265646014">
      <w:bodyDiv w:val="1"/>
      <w:marLeft w:val="0"/>
      <w:marRight w:val="0"/>
      <w:marTop w:val="0"/>
      <w:marBottom w:val="0"/>
      <w:divBdr>
        <w:top w:val="none" w:sz="0" w:space="0" w:color="auto"/>
        <w:left w:val="none" w:sz="0" w:space="0" w:color="auto"/>
        <w:bottom w:val="none" w:sz="0" w:space="0" w:color="auto"/>
        <w:right w:val="none" w:sz="0" w:space="0" w:color="auto"/>
      </w:divBdr>
    </w:div>
    <w:div w:id="1871646326">
      <w:bodyDiv w:val="1"/>
      <w:marLeft w:val="0"/>
      <w:marRight w:val="0"/>
      <w:marTop w:val="0"/>
      <w:marBottom w:val="0"/>
      <w:divBdr>
        <w:top w:val="none" w:sz="0" w:space="0" w:color="auto"/>
        <w:left w:val="none" w:sz="0" w:space="0" w:color="auto"/>
        <w:bottom w:val="none" w:sz="0" w:space="0" w:color="auto"/>
        <w:right w:val="none" w:sz="0" w:space="0" w:color="auto"/>
      </w:divBdr>
      <w:divsChild>
        <w:div w:id="2040156910">
          <w:blockQuote w:val="1"/>
          <w:marLeft w:val="600"/>
          <w:marRight w:val="600"/>
          <w:marTop w:val="240"/>
          <w:marBottom w:val="240"/>
          <w:divBdr>
            <w:top w:val="none" w:sz="0" w:space="0" w:color="auto"/>
            <w:left w:val="none" w:sz="0" w:space="0" w:color="auto"/>
            <w:bottom w:val="none" w:sz="0" w:space="0" w:color="auto"/>
            <w:right w:val="none" w:sz="0" w:space="0" w:color="auto"/>
          </w:divBdr>
        </w:div>
        <w:div w:id="44361501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63BB04FE-3124-4042-9A46-40A22F438C36}"/>
</file>

<file path=customXml/itemProps2.xml><?xml version="1.0" encoding="utf-8"?>
<ds:datastoreItem xmlns:ds="http://schemas.openxmlformats.org/officeDocument/2006/customXml" ds:itemID="{441A480D-E588-4EB7-B79C-04F0186D948D}"/>
</file>

<file path=customXml/itemProps3.xml><?xml version="1.0" encoding="utf-8"?>
<ds:datastoreItem xmlns:ds="http://schemas.openxmlformats.org/officeDocument/2006/customXml" ds:itemID="{CD9E1C04-FE0D-42AA-AB32-1AC1698E3DF0}"/>
</file>

<file path=docProps/app.xml><?xml version="1.0" encoding="utf-8"?>
<Properties xmlns="http://schemas.openxmlformats.org/officeDocument/2006/extended-properties" xmlns:vt="http://schemas.openxmlformats.org/officeDocument/2006/docPropsVTypes">
  <Template>Normal.dotm</Template>
  <TotalTime>5</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Michael Wilson</cp:lastModifiedBy>
  <cp:revision>3</cp:revision>
  <dcterms:created xsi:type="dcterms:W3CDTF">2019-03-20T14:27:00Z</dcterms:created>
  <dcterms:modified xsi:type="dcterms:W3CDTF">2019-03-20T14:33:00Z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