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BC" w:rsidRPr="000B6AB8" w:rsidRDefault="004474BC" w:rsidP="004474BC">
      <w:pPr>
        <w:pStyle w:val="Heading1"/>
        <w:jc w:val="center"/>
        <w:rPr>
          <w:sz w:val="28"/>
          <w:szCs w:val="28"/>
        </w:rPr>
      </w:pPr>
      <w:bookmarkStart w:id="0" w:name="_Toc369589041"/>
      <w:r w:rsidRPr="000B6AB8">
        <w:rPr>
          <w:sz w:val="28"/>
          <w:szCs w:val="28"/>
        </w:rPr>
        <w:t>10.</w:t>
      </w:r>
      <w:r w:rsidR="008449F2">
        <w:rPr>
          <w:sz w:val="28"/>
          <w:szCs w:val="28"/>
        </w:rPr>
        <w:t>4</w:t>
      </w:r>
      <w:r w:rsidR="0000347B">
        <w:rPr>
          <w:sz w:val="28"/>
          <w:szCs w:val="28"/>
        </w:rPr>
        <w:t>5</w:t>
      </w:r>
      <w:r w:rsidRPr="000B6AB8">
        <w:rPr>
          <w:sz w:val="28"/>
          <w:szCs w:val="28"/>
        </w:rPr>
        <w:t>.  Free Speech</w:t>
      </w:r>
      <w:bookmarkEnd w:id="0"/>
    </w:p>
    <w:p w:rsidR="004474BC" w:rsidRDefault="004474BC" w:rsidP="004474BC">
      <w:pPr>
        <w:numPr>
          <w:ilvl w:val="12"/>
          <w:numId w:val="0"/>
        </w:numPr>
        <w:rPr>
          <w:sz w:val="22"/>
          <w:szCs w:val="22"/>
        </w:rPr>
      </w:pPr>
    </w:p>
    <w:p w:rsidR="0000347B" w:rsidRDefault="0000347B" w:rsidP="0000347B">
      <w:pPr>
        <w:numPr>
          <w:ilvl w:val="12"/>
          <w:numId w:val="0"/>
        </w:numPr>
        <w:rPr>
          <w:sz w:val="22"/>
          <w:szCs w:val="22"/>
        </w:rPr>
      </w:pPr>
      <w:r>
        <w:rPr>
          <w:sz w:val="22"/>
          <w:szCs w:val="22"/>
        </w:rPr>
        <w:tab/>
        <w:t>You, as the trier of fact, are to decide whether the statements the accused is accused of saying fall under the protections of Art. I, Sec. 9 of the Indiana Constitution, which states:</w:t>
      </w:r>
    </w:p>
    <w:p w:rsidR="0000347B" w:rsidRDefault="0000347B" w:rsidP="0000347B">
      <w:pPr>
        <w:numPr>
          <w:ilvl w:val="12"/>
          <w:numId w:val="0"/>
        </w:numPr>
        <w:rPr>
          <w:sz w:val="22"/>
          <w:szCs w:val="22"/>
        </w:rPr>
      </w:pPr>
    </w:p>
    <w:p w:rsidR="0000347B" w:rsidRDefault="0000347B" w:rsidP="0000347B">
      <w:pPr>
        <w:numPr>
          <w:ilvl w:val="12"/>
          <w:numId w:val="0"/>
        </w:numPr>
        <w:ind w:left="720"/>
        <w:rPr>
          <w:sz w:val="22"/>
          <w:szCs w:val="22"/>
        </w:rPr>
      </w:pPr>
      <w:r>
        <w:rPr>
          <w:b/>
          <w:bCs/>
          <w:sz w:val="22"/>
          <w:szCs w:val="22"/>
        </w:rPr>
        <w:t xml:space="preserve">Section 9. </w:t>
      </w:r>
      <w:r>
        <w:rPr>
          <w:sz w:val="22"/>
          <w:szCs w:val="22"/>
        </w:rPr>
        <w:t>No law shall be passed, restraining the free interchange of thought and opinion, or restricting the right to speak, write, or print, freely, on any subject whatever: but for the abuse of that right, every person shall be responsible.</w:t>
      </w:r>
    </w:p>
    <w:p w:rsidR="0000347B" w:rsidRDefault="0000347B" w:rsidP="0000347B">
      <w:pPr>
        <w:numPr>
          <w:ilvl w:val="12"/>
          <w:numId w:val="0"/>
        </w:numPr>
        <w:rPr>
          <w:sz w:val="22"/>
          <w:szCs w:val="22"/>
        </w:rPr>
      </w:pPr>
    </w:p>
    <w:p w:rsidR="0000347B" w:rsidRDefault="0000347B" w:rsidP="0000347B">
      <w:pPr>
        <w:numPr>
          <w:ilvl w:val="12"/>
          <w:numId w:val="0"/>
        </w:numPr>
        <w:rPr>
          <w:sz w:val="22"/>
          <w:szCs w:val="22"/>
        </w:rPr>
      </w:pPr>
      <w:r>
        <w:rPr>
          <w:sz w:val="22"/>
          <w:szCs w:val="22"/>
        </w:rPr>
        <w:tab/>
        <w:t xml:space="preserve">This requires a two- step process. You must first decide whether a state action has, in the concrete circumstances of the case, restricted the accused’s opportunity to engage in expressive activity. Second, if it has, you must decide whether the restricted activity constitutes an “abuse” of the right to speak under the Indiana Constitution. You must first determine whether the police officer’s action in this case restricted the accused’s opportunity to engage in expressive activity. Under the Indiana Constitution, expressive conduct is to be given a broad interpretation. It extends to any subject whatever, and reaches every conceivable mode of expression. Expressive activity is restricted when the State imposes a direct and significant burden on the person’s opportunity to speak their mind, in whatever manner the speaker deems most appropriate. </w:t>
      </w:r>
    </w:p>
    <w:p w:rsidR="0000347B" w:rsidRDefault="0000347B" w:rsidP="0000347B">
      <w:pPr>
        <w:numPr>
          <w:ilvl w:val="12"/>
          <w:numId w:val="0"/>
        </w:numPr>
        <w:rPr>
          <w:sz w:val="22"/>
          <w:szCs w:val="22"/>
        </w:rPr>
      </w:pPr>
    </w:p>
    <w:p w:rsidR="0000347B" w:rsidRDefault="0000347B" w:rsidP="0000347B">
      <w:pPr>
        <w:numPr>
          <w:ilvl w:val="12"/>
          <w:numId w:val="0"/>
        </w:numPr>
        <w:rPr>
          <w:sz w:val="22"/>
          <w:szCs w:val="22"/>
        </w:rPr>
      </w:pPr>
      <w:r>
        <w:rPr>
          <w:b/>
          <w:bCs/>
          <w:sz w:val="22"/>
          <w:szCs w:val="22"/>
        </w:rPr>
        <w:t xml:space="preserve">Authority: </w:t>
      </w:r>
      <w:r>
        <w:rPr>
          <w:i/>
          <w:iCs/>
          <w:sz w:val="22"/>
          <w:szCs w:val="22"/>
        </w:rPr>
        <w:t>Whittington v. State</w:t>
      </w:r>
      <w:r>
        <w:rPr>
          <w:sz w:val="22"/>
          <w:szCs w:val="22"/>
        </w:rPr>
        <w:t xml:space="preserve">, 669 N.E.2d 1363, 1367 (Ind. 1996). </w:t>
      </w:r>
    </w:p>
    <w:p w:rsidR="004474BC" w:rsidRDefault="004474BC" w:rsidP="004474BC">
      <w:pPr>
        <w:numPr>
          <w:ilvl w:val="12"/>
          <w:numId w:val="0"/>
        </w:numPr>
      </w:pPr>
      <w:bookmarkStart w:id="1" w:name="_GoBack"/>
      <w:bookmarkEnd w:id="1"/>
    </w:p>
    <w:p w:rsidR="009F4D54" w:rsidRDefault="009F4D54"/>
    <w:sectPr w:rsidR="009F4D54" w:rsidSect="00D433A7">
      <w:headerReference w:type="even" r:id="rId6"/>
      <w:headerReference w:type="default" r:id="rId7"/>
      <w:footerReference w:type="default" r:id="rId8"/>
      <w:pgSz w:w="12240" w:h="15840" w:code="1"/>
      <w:pgMar w:top="2037" w:right="1440" w:bottom="720" w:left="1440" w:header="1440" w:footer="720" w:gutter="0"/>
      <w:pgNumType w:start="1" w:chapStyle="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F1" w:rsidRDefault="008449F2">
      <w:r>
        <w:separator/>
      </w:r>
    </w:p>
  </w:endnote>
  <w:endnote w:type="continuationSeparator" w:id="0">
    <w:p w:rsidR="008413F1" w:rsidRDefault="0084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6B8" w:rsidRDefault="008449F2" w:rsidP="00D43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10-60</w:t>
    </w:r>
    <w:r>
      <w:rPr>
        <w:rStyle w:val="PageNumber"/>
      </w:rPr>
      <w:fldChar w:fldCharType="end"/>
    </w:r>
  </w:p>
  <w:p w:rsidR="004336B8" w:rsidRDefault="0000347B">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F1" w:rsidRDefault="008449F2">
      <w:r>
        <w:separator/>
      </w:r>
    </w:p>
  </w:footnote>
  <w:footnote w:type="continuationSeparator" w:id="0">
    <w:p w:rsidR="008413F1" w:rsidRDefault="0084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6B8" w:rsidRDefault="008449F2">
    <w:pPr>
      <w:tabs>
        <w:tab w:val="right" w:pos="9360"/>
      </w:tabs>
      <w:rPr>
        <w:rFonts w:ascii="Arial" w:hAnsi="Arial" w:cs="Arial"/>
        <w:smallCaps/>
      </w:rPr>
    </w:pPr>
    <w:r>
      <w:rPr>
        <w:rFonts w:ascii="Arial" w:hAnsi="Arial" w:cs="Arial"/>
        <w:smallCaps/>
      </w:rPr>
      <w:t>Chapter 10</w:t>
    </w:r>
    <w:r>
      <w:rPr>
        <w:rFonts w:ascii="Arial" w:hAnsi="Arial" w:cs="Arial"/>
        <w:smallCaps/>
      </w:rPr>
      <w:tab/>
      <w:t>Defenses</w:t>
    </w:r>
  </w:p>
  <w:p w:rsidR="004336B8" w:rsidRDefault="0000347B">
    <w:pPr>
      <w:spacing w:line="2" w:lineRule="exact"/>
      <w:rPr>
        <w:rFonts w:ascii="Arial" w:hAnsi="Arial" w:cs="Arial"/>
      </w:rPr>
    </w:pPr>
    <w:r>
      <w:rPr>
        <w:noProof/>
      </w:rPr>
      <w:pict>
        <v:line id="_x0000_s1025" style="position:absolute;z-index:251660288;mso-position-horizontal-relative:margin" from="0,0" to="0,0" o:allowincell="f" strokecolor="#020000" strokeweight="2.88pt">
          <v:stroke linestyle="thinThin"/>
          <w10:wrap anchorx="margin"/>
        </v:line>
      </w:pict>
    </w:r>
    <w:r>
      <w:rPr>
        <w:noProof/>
      </w:rPr>
      <w:pict>
        <v:line id="_x0000_s1026" style="position:absolute;z-index:251661312;mso-position-horizontal-relative:margin" from="0,.45pt" to="468pt,.45pt" o:allowincell="f" strokecolor="#020000" strokeweight=".96pt">
          <w10:wrap anchorx="margin"/>
        </v:line>
      </w:pict>
    </w:r>
  </w:p>
  <w:p w:rsidR="004336B8" w:rsidRDefault="0000347B">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6B8" w:rsidRDefault="008449F2">
    <w:pPr>
      <w:tabs>
        <w:tab w:val="right" w:pos="9360"/>
      </w:tabs>
      <w:rPr>
        <w:rFonts w:ascii="Arial" w:hAnsi="Arial" w:cs="Arial"/>
        <w:smallCaps/>
      </w:rPr>
    </w:pPr>
    <w:r>
      <w:rPr>
        <w:rFonts w:ascii="Arial" w:hAnsi="Arial" w:cs="Arial"/>
        <w:smallCaps/>
      </w:rPr>
      <w:t>Defenses</w:t>
    </w:r>
    <w:r>
      <w:rPr>
        <w:rFonts w:ascii="Arial" w:hAnsi="Arial" w:cs="Arial"/>
        <w:smallCaps/>
      </w:rPr>
      <w:tab/>
      <w:t>Chapter 10</w:t>
    </w:r>
  </w:p>
  <w:p w:rsidR="004336B8" w:rsidRDefault="0000347B">
    <w:pPr>
      <w:spacing w:line="2" w:lineRule="exact"/>
      <w:rPr>
        <w:rFonts w:ascii="Arial" w:hAnsi="Arial" w:cs="Arial"/>
      </w:rPr>
    </w:pPr>
    <w:r>
      <w:rPr>
        <w:noProof/>
      </w:rPr>
      <w:pict>
        <v:line id="_x0000_s1027" style="position:absolute;z-index:251662336;mso-position-horizontal-relative:margin" from="0,0" to="0,0" o:allowincell="f" strokecolor="#020000" strokeweight="2.88pt">
          <v:stroke linestyle="thinThin"/>
          <w10:wrap anchorx="margin"/>
        </v:line>
      </w:pict>
    </w:r>
    <w:r>
      <w:rPr>
        <w:noProof/>
      </w:rPr>
      <w:pict>
        <v:line id="_x0000_s1028" style="position:absolute;z-index:251663360;mso-position-horizontal-relative:margin" from="0,1.4pt" to="468pt,1.4pt" o:allowincell="f" strokecolor="#020000" strokeweight=".96pt">
          <w10:wrap anchorx="margin"/>
        </v:line>
      </w:pict>
    </w:r>
  </w:p>
  <w:p w:rsidR="004336B8" w:rsidRDefault="0000347B">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docVars>
    <w:docVar w:name="_CITRUS_JURISDICTION" w:val="Bluebook"/>
    <w:docVar w:name="CITRUS_DOC_GUID" w:val="{F86E3226-92B6-4087-9080-56115E7EE210}"/>
  </w:docVars>
  <w:rsids>
    <w:rsidRoot w:val="004474BC"/>
    <w:rsid w:val="0000347B"/>
    <w:rsid w:val="004474BC"/>
    <w:rsid w:val="008413F1"/>
    <w:rsid w:val="008449F2"/>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6DD0E98-4442-4C7E-9037-241D429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74B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4BC"/>
    <w:rPr>
      <w:rFonts w:ascii="Cambria" w:eastAsia="Times New Roman" w:hAnsi="Cambria" w:cs="Times New Roman"/>
      <w:b/>
      <w:bCs/>
      <w:kern w:val="32"/>
      <w:sz w:val="32"/>
      <w:szCs w:val="32"/>
    </w:rPr>
  </w:style>
  <w:style w:type="paragraph" w:styleId="Footer">
    <w:name w:val="footer"/>
    <w:basedOn w:val="Normal"/>
    <w:link w:val="FooterChar"/>
    <w:rsid w:val="004474BC"/>
    <w:pPr>
      <w:tabs>
        <w:tab w:val="center" w:pos="4320"/>
        <w:tab w:val="right" w:pos="8640"/>
      </w:tabs>
    </w:pPr>
    <w:rPr>
      <w:sz w:val="22"/>
    </w:rPr>
  </w:style>
  <w:style w:type="character" w:customStyle="1" w:styleId="FooterChar">
    <w:name w:val="Footer Char"/>
    <w:basedOn w:val="DefaultParagraphFont"/>
    <w:link w:val="Footer"/>
    <w:rsid w:val="004474BC"/>
    <w:rPr>
      <w:rFonts w:ascii="Times New Roman" w:eastAsia="Times New Roman" w:hAnsi="Times New Roman" w:cs="Times New Roman"/>
      <w:szCs w:val="20"/>
    </w:rPr>
  </w:style>
  <w:style w:type="character" w:styleId="PageNumber">
    <w:name w:val="page number"/>
    <w:basedOn w:val="DefaultParagraphFont"/>
    <w:rsid w:val="0044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1BA64E9B-AD9F-4DD0-A212-8175CE681D8E}"/>
</file>

<file path=customXml/itemProps2.xml><?xml version="1.0" encoding="utf-8"?>
<ds:datastoreItem xmlns:ds="http://schemas.openxmlformats.org/officeDocument/2006/customXml" ds:itemID="{F137B18A-EA52-4EA7-809D-FC3EC7CC71A9}"/>
</file>

<file path=customXml/itemProps3.xml><?xml version="1.0" encoding="utf-8"?>
<ds:datastoreItem xmlns:ds="http://schemas.openxmlformats.org/officeDocument/2006/customXml" ds:itemID="{8ED30861-B701-43A6-BC6D-682C01FFA551}"/>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4</cp:revision>
  <dcterms:created xsi:type="dcterms:W3CDTF">2013-10-21T22:07:00Z</dcterms:created>
  <dcterms:modified xsi:type="dcterms:W3CDTF">2017-04-21T14:17:00Z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