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4C" w:rsidRPr="000B6AB8" w:rsidRDefault="00D2254C" w:rsidP="00D2254C">
      <w:pPr>
        <w:pStyle w:val="Heading1"/>
        <w:jc w:val="center"/>
        <w:rPr>
          <w:sz w:val="28"/>
          <w:szCs w:val="28"/>
        </w:rPr>
      </w:pPr>
      <w:bookmarkStart w:id="0" w:name="_Toc369589040"/>
      <w:r w:rsidRPr="000B6AB8">
        <w:rPr>
          <w:sz w:val="28"/>
          <w:szCs w:val="28"/>
        </w:rPr>
        <w:t>10.4</w:t>
      </w:r>
      <w:r w:rsidR="00B26FF8">
        <w:rPr>
          <w:sz w:val="28"/>
          <w:szCs w:val="28"/>
        </w:rPr>
        <w:t>4</w:t>
      </w:r>
      <w:proofErr w:type="gramStart"/>
      <w:r w:rsidRPr="000B6AB8">
        <w:rPr>
          <w:sz w:val="28"/>
          <w:szCs w:val="28"/>
        </w:rPr>
        <w:t>.  Free</w:t>
      </w:r>
      <w:proofErr w:type="gramEnd"/>
      <w:r w:rsidRPr="000B6AB8">
        <w:rPr>
          <w:sz w:val="28"/>
          <w:szCs w:val="28"/>
        </w:rPr>
        <w:t xml:space="preserve"> Speech - Protest </w:t>
      </w:r>
      <w:r>
        <w:rPr>
          <w:sz w:val="28"/>
          <w:szCs w:val="28"/>
        </w:rPr>
        <w:t>P</w:t>
      </w:r>
      <w:r w:rsidRPr="000B6AB8">
        <w:rPr>
          <w:sz w:val="28"/>
          <w:szCs w:val="28"/>
        </w:rPr>
        <w:t xml:space="preserve">olice </w:t>
      </w:r>
      <w:r>
        <w:rPr>
          <w:sz w:val="28"/>
          <w:szCs w:val="28"/>
        </w:rPr>
        <w:t>A</w:t>
      </w:r>
      <w:r w:rsidRPr="000B6AB8">
        <w:rPr>
          <w:sz w:val="28"/>
          <w:szCs w:val="28"/>
        </w:rPr>
        <w:t>ction</w:t>
      </w:r>
      <w:bookmarkEnd w:id="0"/>
    </w:p>
    <w:p w:rsidR="00D2254C" w:rsidRDefault="00D2254C" w:rsidP="00D2254C">
      <w:pPr>
        <w:numPr>
          <w:ilvl w:val="12"/>
          <w:numId w:val="0"/>
        </w:numPr>
        <w:rPr>
          <w:sz w:val="22"/>
          <w:szCs w:val="22"/>
        </w:rPr>
      </w:pPr>
    </w:p>
    <w:p w:rsidR="00B26FF8" w:rsidRDefault="00B26FF8" w:rsidP="00B26FF8">
      <w:pPr>
        <w:numPr>
          <w:ilvl w:val="12"/>
          <w:numId w:val="0"/>
        </w:numPr>
        <w:rPr>
          <w:sz w:val="22"/>
          <w:szCs w:val="22"/>
        </w:rPr>
      </w:pPr>
      <w:r>
        <w:rPr>
          <w:sz w:val="22"/>
          <w:szCs w:val="22"/>
        </w:rPr>
        <w:tab/>
        <w:t>Speech is protected under the Indiana Constitution where it is aimed at protesting the actions of police officers rather than hindering or obstructing police duties or investigations.</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sidRPr="0011656A">
        <w:rPr>
          <w:bCs/>
          <w:i/>
          <w:sz w:val="22"/>
          <w:szCs w:val="22"/>
        </w:rPr>
        <w:t>Jordan v. State</w:t>
      </w:r>
      <w:r w:rsidRPr="0011656A">
        <w:rPr>
          <w:bCs/>
          <w:sz w:val="22"/>
          <w:szCs w:val="22"/>
        </w:rPr>
        <w:t>, 37 N.E.3d 525 (Ind. Ct. App. 2015);</w:t>
      </w:r>
      <w:r w:rsidRPr="003851C4">
        <w:rPr>
          <w:b/>
          <w:bCs/>
          <w:sz w:val="22"/>
          <w:szCs w:val="22"/>
        </w:rPr>
        <w:t xml:space="preserve"> </w:t>
      </w:r>
      <w:r>
        <w:rPr>
          <w:i/>
          <w:iCs/>
          <w:sz w:val="22"/>
          <w:szCs w:val="22"/>
        </w:rPr>
        <w:t>Hooks v. State</w:t>
      </w:r>
      <w:r>
        <w:rPr>
          <w:sz w:val="22"/>
          <w:szCs w:val="22"/>
        </w:rPr>
        <w:t>, 660 N.E.2d 1076 (Ind.Ct.App. 1994).</w:t>
      </w: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t xml:space="preserve">Related instruction: </w:t>
      </w:r>
    </w:p>
    <w:p w:rsidR="00B26FF8" w:rsidRDefault="00B26FF8" w:rsidP="00B26FF8">
      <w:pPr>
        <w:numPr>
          <w:ilvl w:val="12"/>
          <w:numId w:val="0"/>
        </w:numPr>
        <w:rPr>
          <w:b/>
          <w:bCs/>
          <w:sz w:val="22"/>
          <w:szCs w:val="22"/>
        </w:rPr>
      </w:pPr>
    </w:p>
    <w:p w:rsidR="00B26FF8" w:rsidRDefault="00B26FF8" w:rsidP="00B26FF8">
      <w:pPr>
        <w:numPr>
          <w:ilvl w:val="12"/>
          <w:numId w:val="0"/>
        </w:numPr>
        <w:rPr>
          <w:sz w:val="22"/>
          <w:szCs w:val="22"/>
        </w:rPr>
      </w:pPr>
      <w:r>
        <w:rPr>
          <w:b/>
          <w:bCs/>
          <w:sz w:val="22"/>
          <w:szCs w:val="22"/>
        </w:rPr>
        <w:tab/>
      </w:r>
      <w:r>
        <w:rPr>
          <w:sz w:val="22"/>
          <w:szCs w:val="22"/>
        </w:rPr>
        <w:t>If a claimant demonstrates that the right to speak clause is implicated, they retain the burden of showing that the State could not reasonably conclude that the restricted expression was an “abuse”.  One way a claimant can meet this burden is by showing his or her expressive activity was political. If the claimant has succeeded in that, the State must prove that its actions did not materially burden the claimant’s opportunity to engage in political expression. The common feature of political expression is the reference to state action. Expressive activity is political, for purposes of the responsibility clause if its point is to comment on government action. Pure political expression cannot constitute an “abuse” within the police power unless it inflicts upon determinable parties harm of a gravity, analogous to that required under tort law, meaning a private nuisance.</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Pr>
          <w:i/>
          <w:iCs/>
          <w:sz w:val="22"/>
          <w:szCs w:val="22"/>
        </w:rPr>
        <w:t>Whittington v. State</w:t>
      </w:r>
      <w:r>
        <w:rPr>
          <w:sz w:val="22"/>
          <w:szCs w:val="22"/>
        </w:rPr>
        <w:t>, 669 N.E.2d 1363, 1367 (Ind. 1996).</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t xml:space="preserve">Related instruction (Nuisance defined): </w:t>
      </w:r>
    </w:p>
    <w:p w:rsidR="00B26FF8" w:rsidRDefault="00B26FF8" w:rsidP="00B26FF8">
      <w:pPr>
        <w:numPr>
          <w:ilvl w:val="12"/>
          <w:numId w:val="0"/>
        </w:numPr>
        <w:rPr>
          <w:b/>
          <w:bCs/>
          <w:sz w:val="22"/>
          <w:szCs w:val="22"/>
        </w:rPr>
      </w:pPr>
    </w:p>
    <w:p w:rsidR="00B26FF8" w:rsidRDefault="00B26FF8" w:rsidP="00B26FF8">
      <w:pPr>
        <w:numPr>
          <w:ilvl w:val="12"/>
          <w:numId w:val="0"/>
        </w:numPr>
        <w:rPr>
          <w:sz w:val="22"/>
          <w:szCs w:val="22"/>
        </w:rPr>
      </w:pPr>
      <w:r>
        <w:rPr>
          <w:sz w:val="22"/>
          <w:szCs w:val="22"/>
        </w:rPr>
        <w:tab/>
        <w:t>A nuisance is a private nuisance when a person sustains in his person any special injury different from the public. Mere annoyance of inconvenience will not support an action for nuisance.</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proofErr w:type="spellStart"/>
      <w:r>
        <w:rPr>
          <w:i/>
          <w:iCs/>
          <w:sz w:val="22"/>
          <w:szCs w:val="22"/>
        </w:rPr>
        <w:t>Zeppenfield</w:t>
      </w:r>
      <w:proofErr w:type="spellEnd"/>
      <w:r>
        <w:rPr>
          <w:i/>
          <w:iCs/>
          <w:sz w:val="22"/>
          <w:szCs w:val="22"/>
        </w:rPr>
        <w:t xml:space="preserve"> v. Franklin Motor Service</w:t>
      </w:r>
      <w:r>
        <w:rPr>
          <w:sz w:val="22"/>
          <w:szCs w:val="22"/>
        </w:rPr>
        <w:t xml:space="preserve">, 134 N.E. 487 (Ind.Ct.App. 1922); </w:t>
      </w:r>
      <w:proofErr w:type="spellStart"/>
      <w:r>
        <w:rPr>
          <w:i/>
          <w:iCs/>
          <w:sz w:val="22"/>
          <w:szCs w:val="22"/>
        </w:rPr>
        <w:t>Sherk</w:t>
      </w:r>
      <w:proofErr w:type="spellEnd"/>
      <w:r>
        <w:rPr>
          <w:i/>
          <w:iCs/>
          <w:sz w:val="22"/>
          <w:szCs w:val="22"/>
        </w:rPr>
        <w:t xml:space="preserve"> v. Indiana Waste Systems</w:t>
      </w:r>
      <w:r>
        <w:rPr>
          <w:sz w:val="22"/>
          <w:szCs w:val="22"/>
        </w:rPr>
        <w:t>, 495 N.E.2d 815 (Ind.Ct.App. 1986)</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Related instruction:</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sz w:val="22"/>
          <w:szCs w:val="22"/>
        </w:rPr>
        <w:tab/>
        <w:t>In order to find the accused guilty of disorderly conduct the State must prove beyond a reasonable doubt that the accused’s speech interfered with a specific individual’s comfortable enjoyment of his privacy and that the harm they suffered rose above the level of a fleeting annoyance.</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Pr>
          <w:i/>
          <w:iCs/>
          <w:sz w:val="22"/>
          <w:szCs w:val="22"/>
        </w:rPr>
        <w:t>Price v. State</w:t>
      </w:r>
      <w:r>
        <w:rPr>
          <w:sz w:val="22"/>
          <w:szCs w:val="22"/>
        </w:rPr>
        <w:t>, 622 N.E.2d 954 (Ind. 1993)</w:t>
      </w: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t>Alternative/Additional instruction:</w:t>
      </w:r>
    </w:p>
    <w:p w:rsidR="00B26FF8" w:rsidRDefault="00B26FF8" w:rsidP="00B26FF8">
      <w:pPr>
        <w:numPr>
          <w:ilvl w:val="12"/>
          <w:numId w:val="0"/>
        </w:numPr>
        <w:rPr>
          <w:b/>
          <w:bCs/>
          <w:sz w:val="22"/>
          <w:szCs w:val="22"/>
        </w:rPr>
      </w:pPr>
    </w:p>
    <w:p w:rsidR="00B26FF8" w:rsidRDefault="00B26FF8" w:rsidP="00B26FF8">
      <w:pPr>
        <w:numPr>
          <w:ilvl w:val="12"/>
          <w:numId w:val="0"/>
        </w:numPr>
        <w:rPr>
          <w:sz w:val="22"/>
          <w:szCs w:val="22"/>
        </w:rPr>
      </w:pPr>
      <w:r>
        <w:rPr>
          <w:sz w:val="22"/>
          <w:szCs w:val="22"/>
        </w:rPr>
        <w:tab/>
        <w:t>Indiana Code 35-45-1-3(2), disorderly conduct, implicates only unreasonably noisy expression amounting to a public nuisance or, when</w:t>
      </w:r>
      <w:bookmarkStart w:id="1" w:name="_GoBack"/>
      <w:bookmarkEnd w:id="1"/>
      <w:r>
        <w:rPr>
          <w:sz w:val="22"/>
          <w:szCs w:val="22"/>
        </w:rPr>
        <w:t xml:space="preserve"> political speech is at issue, amounting to a private nuisance under traditional common law standards. </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 xml:space="preserve">Authority: </w:t>
      </w:r>
      <w:r>
        <w:rPr>
          <w:i/>
          <w:iCs/>
          <w:sz w:val="22"/>
          <w:szCs w:val="22"/>
        </w:rPr>
        <w:t xml:space="preserve">Price, supra. </w:t>
      </w:r>
    </w:p>
    <w:p w:rsidR="00B26FF8" w:rsidRDefault="00B26FF8" w:rsidP="00B26FF8">
      <w:pPr>
        <w:numPr>
          <w:ilvl w:val="12"/>
          <w:numId w:val="0"/>
        </w:numPr>
        <w:rPr>
          <w:sz w:val="22"/>
          <w:szCs w:val="22"/>
        </w:rPr>
      </w:pPr>
    </w:p>
    <w:p w:rsidR="00B26FF8" w:rsidRDefault="00B26FF8" w:rsidP="00B26FF8">
      <w:pPr>
        <w:numPr>
          <w:ilvl w:val="12"/>
          <w:numId w:val="0"/>
        </w:numPr>
        <w:rPr>
          <w:b/>
          <w:bCs/>
          <w:sz w:val="22"/>
          <w:szCs w:val="22"/>
        </w:rPr>
      </w:pPr>
      <w:r>
        <w:rPr>
          <w:b/>
          <w:bCs/>
          <w:sz w:val="22"/>
          <w:szCs w:val="22"/>
        </w:rPr>
        <w:br w:type="page"/>
      </w:r>
      <w:r>
        <w:rPr>
          <w:b/>
          <w:bCs/>
          <w:sz w:val="22"/>
          <w:szCs w:val="22"/>
        </w:rPr>
        <w:lastRenderedPageBreak/>
        <w:t xml:space="preserve">Related instruction: </w:t>
      </w:r>
    </w:p>
    <w:p w:rsidR="00B26FF8" w:rsidRDefault="00B26FF8" w:rsidP="00B26FF8">
      <w:pPr>
        <w:numPr>
          <w:ilvl w:val="12"/>
          <w:numId w:val="0"/>
        </w:numPr>
        <w:rPr>
          <w:b/>
          <w:bCs/>
          <w:sz w:val="22"/>
          <w:szCs w:val="22"/>
        </w:rPr>
      </w:pPr>
    </w:p>
    <w:p w:rsidR="00B26FF8" w:rsidRDefault="00B26FF8" w:rsidP="00B26FF8">
      <w:pPr>
        <w:numPr>
          <w:ilvl w:val="12"/>
          <w:numId w:val="0"/>
        </w:numPr>
        <w:ind w:firstLine="720"/>
        <w:rPr>
          <w:sz w:val="22"/>
          <w:szCs w:val="22"/>
        </w:rPr>
      </w:pPr>
      <w:r>
        <w:rPr>
          <w:sz w:val="22"/>
          <w:szCs w:val="22"/>
        </w:rPr>
        <w:t>The prohibition against unreasonable noise is aimed at the intrusiveness and loudness of expression not whether the content of the language is obscene or provocative. To convict the accused of disorderly conduct for making unreasonable noise the State must prove beyond a reasonable doubt that the complained of speech infringed upon the right to peace and tranquility enjoyed by others.</w:t>
      </w:r>
    </w:p>
    <w:p w:rsidR="00B26FF8" w:rsidRDefault="00B26FF8" w:rsidP="00B26FF8">
      <w:pPr>
        <w:numPr>
          <w:ilvl w:val="12"/>
          <w:numId w:val="0"/>
        </w:numPr>
        <w:rPr>
          <w:sz w:val="22"/>
          <w:szCs w:val="22"/>
        </w:rPr>
      </w:pPr>
    </w:p>
    <w:p w:rsidR="00B26FF8" w:rsidRDefault="00B26FF8" w:rsidP="00B26FF8">
      <w:pPr>
        <w:numPr>
          <w:ilvl w:val="12"/>
          <w:numId w:val="0"/>
        </w:numPr>
        <w:rPr>
          <w:sz w:val="22"/>
          <w:szCs w:val="22"/>
        </w:rPr>
      </w:pPr>
      <w:r>
        <w:rPr>
          <w:b/>
          <w:bCs/>
          <w:sz w:val="22"/>
          <w:szCs w:val="22"/>
        </w:rPr>
        <w:t>Authority:</w:t>
      </w:r>
      <w:r>
        <w:rPr>
          <w:sz w:val="22"/>
          <w:szCs w:val="22"/>
        </w:rPr>
        <w:t xml:space="preserve"> </w:t>
      </w:r>
      <w:r>
        <w:rPr>
          <w:i/>
          <w:iCs/>
          <w:sz w:val="22"/>
          <w:szCs w:val="22"/>
        </w:rPr>
        <w:t>Hooks v. State</w:t>
      </w:r>
      <w:r>
        <w:rPr>
          <w:sz w:val="22"/>
          <w:szCs w:val="22"/>
        </w:rPr>
        <w:t>, 660 N.E.2d 1076 (Ind.Ct.App. 1994).</w:t>
      </w:r>
    </w:p>
    <w:p w:rsidR="00D2254C" w:rsidRDefault="00D2254C" w:rsidP="00D2254C">
      <w:pPr>
        <w:numPr>
          <w:ilvl w:val="12"/>
          <w:numId w:val="0"/>
        </w:numPr>
        <w:rPr>
          <w:sz w:val="22"/>
          <w:szCs w:val="22"/>
        </w:rPr>
      </w:pPr>
    </w:p>
    <w:p w:rsidR="00D2254C" w:rsidRDefault="00D2254C" w:rsidP="00D2254C">
      <w:pPr>
        <w:numPr>
          <w:ilvl w:val="12"/>
          <w:numId w:val="0"/>
        </w:numPr>
        <w:rPr>
          <w:sz w:val="22"/>
          <w:szCs w:val="22"/>
        </w:rPr>
      </w:pPr>
    </w:p>
    <w:p w:rsidR="00D2254C" w:rsidRDefault="00D2254C" w:rsidP="00D2254C">
      <w:pPr>
        <w:numPr>
          <w:ilvl w:val="12"/>
          <w:numId w:val="0"/>
        </w:numPr>
        <w:rPr>
          <w:b/>
          <w:bCs/>
          <w:sz w:val="22"/>
          <w:szCs w:val="22"/>
        </w:rPr>
      </w:pPr>
      <w:r>
        <w:rPr>
          <w:b/>
          <w:bCs/>
          <w:sz w:val="22"/>
          <w:szCs w:val="22"/>
        </w:rPr>
        <w:br w:type="page"/>
      </w:r>
      <w:r>
        <w:rPr>
          <w:b/>
          <w:bCs/>
          <w:sz w:val="22"/>
          <w:szCs w:val="22"/>
        </w:rPr>
        <w:lastRenderedPageBreak/>
        <w:t xml:space="preserve">Related instruction: </w:t>
      </w:r>
    </w:p>
    <w:p w:rsidR="00D2254C" w:rsidRDefault="00D2254C" w:rsidP="00D2254C">
      <w:pPr>
        <w:numPr>
          <w:ilvl w:val="12"/>
          <w:numId w:val="0"/>
        </w:numPr>
        <w:rPr>
          <w:b/>
          <w:bCs/>
          <w:sz w:val="22"/>
          <w:szCs w:val="22"/>
        </w:rPr>
      </w:pPr>
    </w:p>
    <w:p w:rsidR="00D2254C" w:rsidRDefault="00D2254C" w:rsidP="00D2254C">
      <w:pPr>
        <w:numPr>
          <w:ilvl w:val="12"/>
          <w:numId w:val="0"/>
        </w:numPr>
        <w:ind w:firstLine="720"/>
        <w:rPr>
          <w:sz w:val="22"/>
          <w:szCs w:val="22"/>
        </w:rPr>
      </w:pPr>
      <w:r>
        <w:rPr>
          <w:sz w:val="22"/>
          <w:szCs w:val="22"/>
        </w:rPr>
        <w:t>The prohibition against unreasonable noise is aimed at the intrusiveness and loudness of expression not whether the content of the language is obscene or provocative. To convict the accused of disorderly conduct for making unreasonable noise the State must prove beyond a reasonable doubt that the complained of speech infringed upon the right to peace and tranquility enjoyed by others.</w:t>
      </w:r>
    </w:p>
    <w:p w:rsidR="00D2254C" w:rsidRDefault="00D2254C" w:rsidP="00D2254C">
      <w:pPr>
        <w:numPr>
          <w:ilvl w:val="12"/>
          <w:numId w:val="0"/>
        </w:numPr>
        <w:rPr>
          <w:sz w:val="22"/>
          <w:szCs w:val="22"/>
        </w:rPr>
      </w:pPr>
    </w:p>
    <w:p w:rsidR="00D2254C" w:rsidRDefault="00D2254C" w:rsidP="00D2254C">
      <w:pPr>
        <w:numPr>
          <w:ilvl w:val="12"/>
          <w:numId w:val="0"/>
        </w:numPr>
        <w:rPr>
          <w:sz w:val="22"/>
          <w:szCs w:val="22"/>
        </w:rPr>
      </w:pPr>
      <w:r>
        <w:rPr>
          <w:b/>
          <w:bCs/>
          <w:sz w:val="22"/>
          <w:szCs w:val="22"/>
        </w:rPr>
        <w:t>Authority:</w:t>
      </w:r>
      <w:r>
        <w:rPr>
          <w:sz w:val="22"/>
          <w:szCs w:val="22"/>
        </w:rPr>
        <w:t xml:space="preserve"> </w:t>
      </w:r>
      <w:r>
        <w:rPr>
          <w:i/>
          <w:iCs/>
          <w:sz w:val="22"/>
          <w:szCs w:val="22"/>
        </w:rPr>
        <w:t>Hooks v. State</w:t>
      </w:r>
      <w:r>
        <w:rPr>
          <w:sz w:val="22"/>
          <w:szCs w:val="22"/>
        </w:rPr>
        <w:t>, 660 N.E.2d 1076 (Ind.Ct.App. 1994)</w:t>
      </w:r>
    </w:p>
    <w:p w:rsidR="00D2254C" w:rsidRDefault="00D2254C" w:rsidP="00D2254C">
      <w:pPr>
        <w:numPr>
          <w:ilvl w:val="12"/>
          <w:numId w:val="0"/>
        </w:numPr>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ACA0C0E4-EFA4-44EA-8705-B7B8C7C561E0}"/>
  </w:docVars>
  <w:rsids>
    <w:rsidRoot w:val="00D2254C"/>
    <w:rsid w:val="009F4D54"/>
    <w:rsid w:val="00B26FF8"/>
    <w:rsid w:val="00D2254C"/>
    <w:rsid w:val="00F9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C65CB-67D5-4AB6-A361-5C9E5C0D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4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254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54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70959698-144D-4540-AB5C-8CC2DA330803}"/>
</file>

<file path=customXml/itemProps2.xml><?xml version="1.0" encoding="utf-8"?>
<ds:datastoreItem xmlns:ds="http://schemas.openxmlformats.org/officeDocument/2006/customXml" ds:itemID="{86FB4409-FF0F-4E82-9AA6-1207BBE80BAC}"/>
</file>

<file path=customXml/itemProps3.xml><?xml version="1.0" encoding="utf-8"?>
<ds:datastoreItem xmlns:ds="http://schemas.openxmlformats.org/officeDocument/2006/customXml" ds:itemID="{8A8E73E6-87A0-4A31-9F50-3BECE99D19E7}"/>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2013-10-21T22:06:00Z</dcterms:created>
  <dcterms:modified xsi:type="dcterms:W3CDTF">2017-04-21T14:16:00Z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