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553" w:rsidRPr="006266F7" w:rsidRDefault="006A6553" w:rsidP="006A6553">
      <w:pPr>
        <w:pStyle w:val="Heading1"/>
        <w:jc w:val="center"/>
        <w:rPr>
          <w:sz w:val="28"/>
          <w:szCs w:val="28"/>
        </w:rPr>
      </w:pPr>
      <w:bookmarkStart w:id="0" w:name="_Toc369589020"/>
      <w:r w:rsidRPr="006266F7">
        <w:rPr>
          <w:sz w:val="28"/>
          <w:szCs w:val="28"/>
        </w:rPr>
        <w:t>10.2</w:t>
      </w:r>
      <w:r w:rsidR="00A34E0B">
        <w:rPr>
          <w:sz w:val="28"/>
          <w:szCs w:val="28"/>
        </w:rPr>
        <w:t>6</w:t>
      </w:r>
      <w:proofErr w:type="gramStart"/>
      <w:r w:rsidRPr="006266F7">
        <w:rPr>
          <w:sz w:val="28"/>
          <w:szCs w:val="28"/>
        </w:rPr>
        <w:t>.  Use</w:t>
      </w:r>
      <w:proofErr w:type="gramEnd"/>
      <w:r w:rsidRPr="006266F7">
        <w:rPr>
          <w:sz w:val="28"/>
          <w:szCs w:val="28"/>
        </w:rPr>
        <w:t xml:space="preserve"> of Force to Protect Property</w:t>
      </w:r>
      <w:bookmarkEnd w:id="0"/>
    </w:p>
    <w:p w:rsidR="006A6553" w:rsidRDefault="006A6553" w:rsidP="006A6553">
      <w:pPr>
        <w:numPr>
          <w:ilvl w:val="12"/>
          <w:numId w:val="0"/>
        </w:numPr>
        <w:rPr>
          <w:sz w:val="22"/>
          <w:szCs w:val="22"/>
        </w:rPr>
      </w:pPr>
    </w:p>
    <w:p w:rsidR="00A34E0B" w:rsidRPr="00BE378F" w:rsidRDefault="00A34E0B" w:rsidP="00A34E0B">
      <w:pPr>
        <w:widowControl/>
        <w:autoSpaceDE/>
        <w:autoSpaceDN/>
        <w:adjustRightInd/>
        <w:rPr>
          <w:b/>
          <w:sz w:val="22"/>
          <w:szCs w:val="22"/>
        </w:rPr>
      </w:pPr>
      <w:r w:rsidRPr="00BE378F">
        <w:rPr>
          <w:b/>
          <w:sz w:val="22"/>
          <w:szCs w:val="22"/>
        </w:rPr>
        <w:t>I.C. 35-41-3-2.</w:t>
      </w:r>
    </w:p>
    <w:p w:rsidR="00A34E0B" w:rsidRPr="00BE378F" w:rsidRDefault="00A34E0B" w:rsidP="00A34E0B">
      <w:pPr>
        <w:widowControl/>
        <w:autoSpaceDE/>
        <w:autoSpaceDN/>
        <w:adjustRightInd/>
        <w:spacing w:before="100" w:beforeAutospacing="1" w:after="100" w:afterAutospacing="1"/>
        <w:ind w:firstLine="720"/>
        <w:rPr>
          <w:sz w:val="22"/>
          <w:szCs w:val="22"/>
        </w:rPr>
      </w:pPr>
      <w:r w:rsidRPr="00BE378F">
        <w:rPr>
          <w:sz w:val="22"/>
          <w:szCs w:val="22"/>
        </w:rPr>
        <w:t>It is an issue whether the Accused acted in defense of his/her property.</w:t>
      </w:r>
    </w:p>
    <w:p w:rsidR="00A34E0B" w:rsidRPr="00BE378F" w:rsidRDefault="00A34E0B" w:rsidP="00A34E0B">
      <w:pPr>
        <w:widowControl/>
        <w:autoSpaceDE/>
        <w:autoSpaceDN/>
        <w:adjustRightInd/>
        <w:spacing w:before="100" w:beforeAutospacing="1" w:after="100" w:afterAutospacing="1"/>
        <w:ind w:firstLine="720"/>
        <w:rPr>
          <w:sz w:val="22"/>
          <w:szCs w:val="22"/>
        </w:rPr>
      </w:pPr>
      <w:r w:rsidRPr="00BE378F">
        <w:rPr>
          <w:sz w:val="22"/>
          <w:szCs w:val="22"/>
        </w:rPr>
        <w:t>[With respect to property other than (a dwelling) (the land adjoining a dwelling, including buildings, used for domestic purposes) (an occupied motor vehicle),] (A) person may use reasonable force, but not deadly force, against another person if he reasonably believes that the force is necessary to immediately prevent or terminate the other person’s (trespass on) (criminal interference with) property (lawfully in Accused’s possession) (lawfully in possession of a member of Accused’s immediate family) (belonging to a person whose property Accused has authority to protect).</w:t>
      </w:r>
    </w:p>
    <w:p w:rsidR="00A34E0B" w:rsidRPr="00BE378F" w:rsidRDefault="00A34E0B" w:rsidP="00A34E0B">
      <w:pPr>
        <w:widowControl/>
        <w:autoSpaceDE/>
        <w:autoSpaceDN/>
        <w:adjustRightInd/>
        <w:spacing w:before="100" w:beforeAutospacing="1" w:after="100" w:afterAutospacing="1"/>
        <w:ind w:firstLine="720"/>
        <w:rPr>
          <w:sz w:val="22"/>
          <w:szCs w:val="22"/>
        </w:rPr>
      </w:pPr>
      <w:r w:rsidRPr="00BE378F">
        <w:rPr>
          <w:sz w:val="22"/>
          <w:szCs w:val="22"/>
        </w:rPr>
        <w:t>[However, a person may not use force if:</w:t>
      </w:r>
    </w:p>
    <w:p w:rsidR="00A34E0B" w:rsidRPr="00BE378F" w:rsidRDefault="00A34E0B" w:rsidP="00A34E0B">
      <w:pPr>
        <w:widowControl/>
        <w:numPr>
          <w:ilvl w:val="0"/>
          <w:numId w:val="2"/>
        </w:numPr>
        <w:autoSpaceDE/>
        <w:autoSpaceDN/>
        <w:adjustRightInd/>
        <w:spacing w:before="100" w:beforeAutospacing="1" w:after="100" w:afterAutospacing="1"/>
        <w:ind w:left="1080" w:firstLine="0"/>
        <w:rPr>
          <w:sz w:val="22"/>
          <w:szCs w:val="22"/>
        </w:rPr>
      </w:pPr>
      <w:r w:rsidRPr="00BE378F">
        <w:rPr>
          <w:sz w:val="22"/>
          <w:szCs w:val="22"/>
        </w:rPr>
        <w:t>(</w:t>
      </w:r>
      <w:proofErr w:type="gramStart"/>
      <w:r w:rsidRPr="00BE378F">
        <w:rPr>
          <w:sz w:val="22"/>
          <w:szCs w:val="22"/>
        </w:rPr>
        <w:t>he/she</w:t>
      </w:r>
      <w:proofErr w:type="gramEnd"/>
      <w:r w:rsidRPr="00BE378F">
        <w:rPr>
          <w:sz w:val="22"/>
          <w:szCs w:val="22"/>
        </w:rPr>
        <w:t xml:space="preserve"> is committing a crime that is directly and immediately connected to the trespass or criminal interference with the property (lawfully in Accused’s possession) (lawfully in possession of a member of Accused’s immediate family) (belonging to a person whose property Accused has authority to protect) (use a descriptive term based on evidence).)</w:t>
      </w:r>
    </w:p>
    <w:p w:rsidR="00A34E0B" w:rsidRPr="00BE378F" w:rsidRDefault="00A34E0B" w:rsidP="00A34E0B">
      <w:pPr>
        <w:widowControl/>
        <w:autoSpaceDE/>
        <w:autoSpaceDN/>
        <w:adjustRightInd/>
        <w:spacing w:before="100" w:beforeAutospacing="1" w:after="100" w:afterAutospacing="1"/>
        <w:ind w:left="720"/>
        <w:rPr>
          <w:sz w:val="22"/>
          <w:szCs w:val="22"/>
        </w:rPr>
      </w:pPr>
      <w:r w:rsidRPr="00BE378F">
        <w:rPr>
          <w:sz w:val="22"/>
          <w:szCs w:val="22"/>
        </w:rPr>
        <w:t>(</w:t>
      </w:r>
      <w:proofErr w:type="gramStart"/>
      <w:r w:rsidRPr="00BE378F">
        <w:rPr>
          <w:sz w:val="22"/>
          <w:szCs w:val="22"/>
        </w:rPr>
        <w:t>or</w:t>
      </w:r>
      <w:proofErr w:type="gramEnd"/>
      <w:r w:rsidRPr="00BE378F">
        <w:rPr>
          <w:sz w:val="22"/>
          <w:szCs w:val="22"/>
        </w:rPr>
        <w:t>)</w:t>
      </w:r>
    </w:p>
    <w:p w:rsidR="00A34E0B" w:rsidRPr="00BE378F" w:rsidRDefault="00A34E0B" w:rsidP="00A34E0B">
      <w:pPr>
        <w:widowControl/>
        <w:numPr>
          <w:ilvl w:val="0"/>
          <w:numId w:val="2"/>
        </w:numPr>
        <w:autoSpaceDE/>
        <w:autoSpaceDN/>
        <w:adjustRightInd/>
        <w:spacing w:before="100" w:beforeAutospacing="1" w:after="100" w:afterAutospacing="1"/>
        <w:ind w:left="1080" w:firstLine="0"/>
        <w:rPr>
          <w:sz w:val="22"/>
          <w:szCs w:val="22"/>
        </w:rPr>
      </w:pPr>
      <w:r w:rsidRPr="00BE378F">
        <w:rPr>
          <w:sz w:val="22"/>
          <w:szCs w:val="22"/>
        </w:rPr>
        <w:t>(he/she is escaping after the commission of a crime that is directly and immediately connected to the property (lawfully in Accused’s possession) (lawfully in possession of a member of Accused’s immediate family) (belonging to a person whose property Accused has authority to protect)) (</w:t>
      </w:r>
      <w:proofErr w:type="gramStart"/>
      <w:r w:rsidRPr="00BE378F">
        <w:rPr>
          <w:sz w:val="22"/>
          <w:szCs w:val="22"/>
        </w:rPr>
        <w:t>use</w:t>
      </w:r>
      <w:proofErr w:type="gramEnd"/>
      <w:r w:rsidRPr="00BE378F">
        <w:rPr>
          <w:sz w:val="22"/>
          <w:szCs w:val="22"/>
        </w:rPr>
        <w:t xml:space="preserve"> a descriptive term based on evidence).)</w:t>
      </w:r>
    </w:p>
    <w:p w:rsidR="00A34E0B" w:rsidRPr="00BE378F" w:rsidRDefault="00A34E0B" w:rsidP="00A34E0B">
      <w:pPr>
        <w:widowControl/>
        <w:autoSpaceDE/>
        <w:autoSpaceDN/>
        <w:adjustRightInd/>
        <w:spacing w:before="100" w:beforeAutospacing="1" w:after="100" w:afterAutospacing="1"/>
        <w:ind w:left="720"/>
        <w:rPr>
          <w:sz w:val="22"/>
          <w:szCs w:val="22"/>
        </w:rPr>
      </w:pPr>
      <w:r w:rsidRPr="00BE378F">
        <w:rPr>
          <w:sz w:val="22"/>
          <w:szCs w:val="22"/>
        </w:rPr>
        <w:t>(</w:t>
      </w:r>
      <w:proofErr w:type="gramStart"/>
      <w:r w:rsidRPr="00BE378F">
        <w:rPr>
          <w:sz w:val="22"/>
          <w:szCs w:val="22"/>
        </w:rPr>
        <w:t>or</w:t>
      </w:r>
      <w:proofErr w:type="gramEnd"/>
      <w:r w:rsidRPr="00BE378F">
        <w:rPr>
          <w:sz w:val="22"/>
          <w:szCs w:val="22"/>
        </w:rPr>
        <w:t>)</w:t>
      </w:r>
    </w:p>
    <w:p w:rsidR="00A34E0B" w:rsidRPr="00BE378F" w:rsidRDefault="00A34E0B" w:rsidP="00A34E0B">
      <w:pPr>
        <w:widowControl/>
        <w:numPr>
          <w:ilvl w:val="0"/>
          <w:numId w:val="2"/>
        </w:numPr>
        <w:autoSpaceDE/>
        <w:autoSpaceDN/>
        <w:adjustRightInd/>
        <w:spacing w:before="100" w:beforeAutospacing="1" w:after="100" w:afterAutospacing="1"/>
        <w:ind w:left="1080" w:firstLine="0"/>
        <w:rPr>
          <w:sz w:val="22"/>
          <w:szCs w:val="22"/>
        </w:rPr>
      </w:pPr>
      <w:r w:rsidRPr="00BE378F">
        <w:rPr>
          <w:sz w:val="22"/>
          <w:szCs w:val="22"/>
        </w:rPr>
        <w:t>(he/she provokes a fight with another person with intent to cause bodily injury to that person)</w:t>
      </w:r>
    </w:p>
    <w:p w:rsidR="00A34E0B" w:rsidRPr="00BE378F" w:rsidRDefault="00A34E0B" w:rsidP="00A34E0B">
      <w:pPr>
        <w:widowControl/>
        <w:autoSpaceDE/>
        <w:autoSpaceDN/>
        <w:adjustRightInd/>
        <w:spacing w:before="100" w:beforeAutospacing="1" w:after="100" w:afterAutospacing="1"/>
        <w:ind w:left="720"/>
        <w:rPr>
          <w:sz w:val="22"/>
          <w:szCs w:val="22"/>
        </w:rPr>
      </w:pPr>
      <w:r w:rsidRPr="00BE378F">
        <w:rPr>
          <w:sz w:val="22"/>
          <w:szCs w:val="22"/>
        </w:rPr>
        <w:t>(</w:t>
      </w:r>
      <w:proofErr w:type="gramStart"/>
      <w:r w:rsidRPr="00BE378F">
        <w:rPr>
          <w:sz w:val="22"/>
          <w:szCs w:val="22"/>
        </w:rPr>
        <w:t>or</w:t>
      </w:r>
      <w:proofErr w:type="gramEnd"/>
      <w:r w:rsidRPr="00BE378F">
        <w:rPr>
          <w:sz w:val="22"/>
          <w:szCs w:val="22"/>
        </w:rPr>
        <w:t>)</w:t>
      </w:r>
    </w:p>
    <w:p w:rsidR="00A34E0B" w:rsidRPr="00BE378F" w:rsidRDefault="00A34E0B" w:rsidP="00A34E0B">
      <w:pPr>
        <w:widowControl/>
        <w:numPr>
          <w:ilvl w:val="0"/>
          <w:numId w:val="2"/>
        </w:numPr>
        <w:autoSpaceDE/>
        <w:autoSpaceDN/>
        <w:adjustRightInd/>
        <w:spacing w:before="100" w:beforeAutospacing="1" w:after="100" w:afterAutospacing="1"/>
        <w:ind w:left="1080"/>
        <w:rPr>
          <w:sz w:val="22"/>
          <w:szCs w:val="22"/>
        </w:rPr>
      </w:pPr>
      <w:r w:rsidRPr="00BE378F">
        <w:rPr>
          <w:sz w:val="22"/>
          <w:szCs w:val="22"/>
        </w:rPr>
        <w:t>(he/she has willingly entered into a fight with another person or started the fight, unless he/she withdraws from the fight and communicates to the other person his/her intent to withdraw and the other person nevertheless continues or threatens to continue the fight).]</w:t>
      </w:r>
    </w:p>
    <w:p w:rsidR="00A34E0B" w:rsidRPr="00BE378F" w:rsidRDefault="00A34E0B" w:rsidP="00A34E0B">
      <w:pPr>
        <w:widowControl/>
        <w:autoSpaceDE/>
        <w:autoSpaceDN/>
        <w:adjustRightInd/>
        <w:spacing w:before="100" w:beforeAutospacing="1" w:after="100" w:afterAutospacing="1"/>
        <w:ind w:firstLine="720"/>
        <w:rPr>
          <w:sz w:val="22"/>
          <w:szCs w:val="22"/>
        </w:rPr>
      </w:pPr>
      <w:r w:rsidRPr="00BE378F">
        <w:rPr>
          <w:sz w:val="22"/>
          <w:szCs w:val="22"/>
        </w:rPr>
        <w:t>The State has the burden of proving beyond a reasonable doubt that the Accused did not act in defense of his/her property.</w:t>
      </w:r>
    </w:p>
    <w:p w:rsidR="00A34E0B" w:rsidRPr="00BE378F" w:rsidRDefault="00A34E0B" w:rsidP="00A34E0B">
      <w:pPr>
        <w:widowControl/>
        <w:autoSpaceDE/>
        <w:autoSpaceDN/>
        <w:adjustRightInd/>
        <w:spacing w:before="100" w:beforeAutospacing="1" w:after="100" w:afterAutospacing="1"/>
        <w:outlineLvl w:val="1"/>
        <w:rPr>
          <w:b/>
          <w:bCs/>
          <w:sz w:val="22"/>
          <w:szCs w:val="22"/>
        </w:rPr>
      </w:pPr>
      <w:bookmarkStart w:id="1" w:name="_Toc480463946"/>
      <w:r w:rsidRPr="00BE378F">
        <w:rPr>
          <w:b/>
          <w:sz w:val="22"/>
          <w:szCs w:val="22"/>
        </w:rPr>
        <w:t>Comment from Pattern Committee</w:t>
      </w:r>
      <w:bookmarkEnd w:id="1"/>
    </w:p>
    <w:p w:rsidR="00A34E0B" w:rsidRPr="00BE378F" w:rsidRDefault="00A34E0B" w:rsidP="00A34E0B">
      <w:pPr>
        <w:widowControl/>
        <w:autoSpaceDE/>
        <w:autoSpaceDN/>
        <w:adjustRightInd/>
        <w:spacing w:before="100" w:beforeAutospacing="1" w:after="100" w:afterAutospacing="1"/>
        <w:rPr>
          <w:sz w:val="22"/>
          <w:szCs w:val="22"/>
        </w:rPr>
      </w:pPr>
      <w:r w:rsidRPr="00BE378F">
        <w:rPr>
          <w:sz w:val="22"/>
          <w:szCs w:val="22"/>
        </w:rPr>
        <w:t>If there is no evidence suggesting the property being protected was the defendant’s dwelling or in his curtilage, omit the bracketed first phrase in the first sentence.</w:t>
      </w:r>
    </w:p>
    <w:p w:rsidR="00A34E0B" w:rsidRPr="00BE378F" w:rsidRDefault="00A34E0B" w:rsidP="00A34E0B">
      <w:pPr>
        <w:widowControl/>
        <w:autoSpaceDE/>
        <w:autoSpaceDN/>
        <w:adjustRightInd/>
        <w:spacing w:before="100" w:beforeAutospacing="1" w:after="100" w:afterAutospacing="1"/>
        <w:rPr>
          <w:sz w:val="22"/>
          <w:szCs w:val="22"/>
        </w:rPr>
      </w:pPr>
      <w:r w:rsidRPr="00BE378F">
        <w:rPr>
          <w:sz w:val="22"/>
          <w:szCs w:val="22"/>
        </w:rPr>
        <w:t>If there is an issue whether the property defendant was protecting was or was not part of the “curtilage,” see the definitions for “curtilage” in Instruction No. 10.0400 and its Commentary.</w:t>
      </w:r>
    </w:p>
    <w:p w:rsidR="00A34E0B" w:rsidRPr="00BE378F" w:rsidRDefault="00A34E0B" w:rsidP="00A34E0B">
      <w:pPr>
        <w:widowControl/>
        <w:autoSpaceDE/>
        <w:autoSpaceDN/>
        <w:adjustRightInd/>
        <w:spacing w:before="100" w:beforeAutospacing="1" w:after="100" w:afterAutospacing="1"/>
        <w:rPr>
          <w:sz w:val="22"/>
          <w:szCs w:val="22"/>
        </w:rPr>
      </w:pPr>
      <w:r w:rsidRPr="00BE378F">
        <w:rPr>
          <w:sz w:val="22"/>
          <w:szCs w:val="22"/>
        </w:rPr>
        <w:lastRenderedPageBreak/>
        <w:t xml:space="preserve">The “committing a crime” or “escaping after the commission of a crime” limits on this defense do not apply if defendant was “coincidentally committing some (unrelated) criminal offense.” The limits apply only when defendant “was actively engaged in the perpetration of a crime, and that criminal activity produced the confrontation wherein the force was employed.” </w:t>
      </w:r>
      <w:r w:rsidRPr="00BE378F">
        <w:rPr>
          <w:i/>
          <w:sz w:val="22"/>
          <w:szCs w:val="22"/>
        </w:rPr>
        <w:t>Harvey v. State</w:t>
      </w:r>
      <w:r w:rsidRPr="00BE378F">
        <w:rPr>
          <w:sz w:val="22"/>
          <w:szCs w:val="22"/>
        </w:rPr>
        <w:t xml:space="preserve">, 652 N.E.2d 876 (Ind. Ct. App. 1995), </w:t>
      </w:r>
      <w:r w:rsidRPr="00BE378F">
        <w:rPr>
          <w:i/>
          <w:sz w:val="22"/>
          <w:szCs w:val="22"/>
        </w:rPr>
        <w:t>transfer denied</w:t>
      </w:r>
      <w:r w:rsidRPr="00BE378F">
        <w:rPr>
          <w:sz w:val="22"/>
          <w:szCs w:val="22"/>
        </w:rPr>
        <w:t xml:space="preserve"> (homicide defendant entitled to invoke self-defense even though at time of alleged murder he had no license for his pistol and hence was committing the offense of possession of a handgun without a license). </w:t>
      </w:r>
      <w:r w:rsidRPr="00BE378F">
        <w:rPr>
          <w:i/>
          <w:sz w:val="22"/>
          <w:szCs w:val="22"/>
        </w:rPr>
        <w:t>See also Mayes v. State</w:t>
      </w:r>
      <w:r w:rsidRPr="00BE378F">
        <w:rPr>
          <w:sz w:val="22"/>
          <w:szCs w:val="22"/>
        </w:rPr>
        <w:t>, 744 N.E.2d 390 (Ind. 2001) (“There must be an immediate causal connection between the crime and the confrontation. Stated differently, the evidence must show that but for the defendant committing a crime, the confrontation resulting in injury to the victim would not have occurred.”)</w:t>
      </w:r>
    </w:p>
    <w:p w:rsidR="00A34E0B" w:rsidRPr="00BE378F" w:rsidRDefault="00A34E0B" w:rsidP="00A34E0B">
      <w:pPr>
        <w:widowControl/>
        <w:autoSpaceDE/>
        <w:autoSpaceDN/>
        <w:adjustRightInd/>
        <w:spacing w:before="100" w:beforeAutospacing="1" w:after="100" w:afterAutospacing="1"/>
        <w:rPr>
          <w:sz w:val="22"/>
          <w:szCs w:val="22"/>
        </w:rPr>
      </w:pPr>
      <w:r w:rsidRPr="00BE378F">
        <w:rPr>
          <w:sz w:val="22"/>
          <w:szCs w:val="22"/>
        </w:rPr>
        <w:t xml:space="preserve">When a claim of self-defense is raised and finds support in the evidence, the burden to disprove this offense beyond a reasonable doubt rests on the State. </w:t>
      </w:r>
      <w:r w:rsidRPr="00BE378F">
        <w:rPr>
          <w:i/>
          <w:sz w:val="22"/>
          <w:szCs w:val="22"/>
        </w:rPr>
        <w:t>Wilson v. State</w:t>
      </w:r>
      <w:r w:rsidRPr="00BE378F">
        <w:rPr>
          <w:sz w:val="22"/>
          <w:szCs w:val="22"/>
        </w:rPr>
        <w:t>, 770 N.E.2d 799 (Ind. 2002).</w:t>
      </w:r>
    </w:p>
    <w:p w:rsidR="00A34E0B" w:rsidRPr="00BE378F" w:rsidRDefault="00A34E0B" w:rsidP="00A34E0B">
      <w:pPr>
        <w:widowControl/>
        <w:autoSpaceDE/>
        <w:autoSpaceDN/>
        <w:adjustRightInd/>
        <w:spacing w:before="100" w:beforeAutospacing="1" w:after="100" w:afterAutospacing="1"/>
        <w:rPr>
          <w:sz w:val="22"/>
          <w:szCs w:val="22"/>
        </w:rPr>
      </w:pPr>
      <w:r w:rsidRPr="00BE378F">
        <w:rPr>
          <w:sz w:val="22"/>
          <w:szCs w:val="22"/>
        </w:rPr>
        <w:t>The following terms are defined by law: “bodily injury” (I.C. 35-31.5-2-29, Instruction No. 14.0420); “deadly force” (I.C. 35-31.5-2-85; Instruction No. 14.1020); and “dwelling” (I.C. 35-31.5-2-107; Instruction No. 14.1400).</w:t>
      </w:r>
    </w:p>
    <w:p w:rsidR="009F4D54" w:rsidRDefault="009F4D54" w:rsidP="00A34E0B">
      <w:pPr>
        <w:numPr>
          <w:ilvl w:val="12"/>
          <w:numId w:val="0"/>
        </w:numPr>
      </w:pPr>
      <w:bookmarkStart w:id="2" w:name="_GoBack"/>
      <w:bookmarkEnd w:id="2"/>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C569A"/>
    <w:multiLevelType w:val="hybridMultilevel"/>
    <w:tmpl w:val="51A8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D3443"/>
    <w:multiLevelType w:val="hybridMultilevel"/>
    <w:tmpl w:val="76D6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A6553"/>
    <w:rsid w:val="006A6553"/>
    <w:rsid w:val="009F4D54"/>
    <w:rsid w:val="00A3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40F41-A124-46FD-9027-8D69516E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55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A655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655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98E11BE8-885B-4C9A-954B-37E8456CEE68}"/>
</file>

<file path=customXml/itemProps2.xml><?xml version="1.0" encoding="utf-8"?>
<ds:datastoreItem xmlns:ds="http://schemas.openxmlformats.org/officeDocument/2006/customXml" ds:itemID="{639C4F33-DF2C-4BB5-9AA5-42FE2B1052A8}"/>
</file>

<file path=customXml/itemProps3.xml><?xml version="1.0" encoding="utf-8"?>
<ds:datastoreItem xmlns:ds="http://schemas.openxmlformats.org/officeDocument/2006/customXml" ds:itemID="{E1F40872-5610-4001-80D0-CF243E05CC4C}"/>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2017-04-20T20:23:00Z</dcterms:created>
  <dcterms:modified xsi:type="dcterms:W3CDTF">2017-04-20T20:23:00Z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