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51" w:rsidRPr="006266F7" w:rsidRDefault="00313C51" w:rsidP="00313C51">
      <w:pPr>
        <w:pStyle w:val="Heading1"/>
        <w:jc w:val="center"/>
        <w:rPr>
          <w:sz w:val="28"/>
          <w:szCs w:val="28"/>
        </w:rPr>
      </w:pPr>
      <w:bookmarkStart w:id="0" w:name="_Toc369589008"/>
      <w:r w:rsidRPr="006266F7">
        <w:rPr>
          <w:sz w:val="28"/>
          <w:szCs w:val="28"/>
        </w:rPr>
        <w:t>10.18.  Legal Authority</w:t>
      </w:r>
      <w:bookmarkEnd w:id="0"/>
    </w:p>
    <w:p w:rsidR="00313C51" w:rsidRDefault="00313C51" w:rsidP="00313C51">
      <w:pPr>
        <w:numPr>
          <w:ilvl w:val="12"/>
          <w:numId w:val="0"/>
        </w:numPr>
        <w:rPr>
          <w:sz w:val="22"/>
          <w:szCs w:val="22"/>
        </w:rPr>
      </w:pPr>
    </w:p>
    <w:p w:rsidR="000E13A9" w:rsidRDefault="000E13A9" w:rsidP="000E13A9">
      <w:pPr>
        <w:numPr>
          <w:ilvl w:val="12"/>
          <w:numId w:val="0"/>
        </w:numPr>
        <w:rPr>
          <w:sz w:val="22"/>
          <w:szCs w:val="22"/>
        </w:rPr>
      </w:pPr>
      <w:r>
        <w:rPr>
          <w:sz w:val="22"/>
          <w:szCs w:val="22"/>
        </w:rPr>
        <w:tab/>
        <w:t>A person may not be convicted for engaging in conduct that would otherwise be a crime if he has legal authority to do so.</w:t>
      </w:r>
    </w:p>
    <w:p w:rsidR="000E13A9" w:rsidRDefault="000E13A9" w:rsidP="000E13A9">
      <w:pPr>
        <w:numPr>
          <w:ilvl w:val="12"/>
          <w:numId w:val="0"/>
        </w:numPr>
        <w:rPr>
          <w:sz w:val="22"/>
          <w:szCs w:val="22"/>
        </w:rPr>
      </w:pPr>
    </w:p>
    <w:p w:rsidR="000E13A9" w:rsidRDefault="000E13A9" w:rsidP="000E13A9">
      <w:pPr>
        <w:numPr>
          <w:ilvl w:val="12"/>
          <w:numId w:val="0"/>
        </w:numPr>
        <w:rPr>
          <w:sz w:val="22"/>
          <w:szCs w:val="22"/>
        </w:rPr>
      </w:pPr>
      <w:r>
        <w:rPr>
          <w:sz w:val="22"/>
          <w:szCs w:val="22"/>
        </w:rPr>
        <w:tab/>
        <w:t>It is an issue in this case whether the accused had legal authority to [describe prohibited conduct.]  Under Indiana law, a person is authorized to [describe prohibited conduct] when</w:t>
      </w:r>
      <w:r>
        <w:rPr>
          <w:sz w:val="22"/>
          <w:szCs w:val="22"/>
        </w:rPr>
        <w:t xml:space="preserve"> </w:t>
      </w:r>
      <w:r>
        <w:rPr>
          <w:sz w:val="22"/>
          <w:szCs w:val="22"/>
        </w:rPr>
        <w:t>[describe applicable circumstances.]</w:t>
      </w:r>
    </w:p>
    <w:p w:rsidR="000E13A9" w:rsidRDefault="000E13A9" w:rsidP="000E13A9">
      <w:pPr>
        <w:numPr>
          <w:ilvl w:val="12"/>
          <w:numId w:val="0"/>
        </w:numPr>
        <w:rPr>
          <w:sz w:val="22"/>
          <w:szCs w:val="22"/>
        </w:rPr>
      </w:pPr>
    </w:p>
    <w:p w:rsidR="000E13A9" w:rsidRDefault="000E13A9" w:rsidP="000E13A9">
      <w:pPr>
        <w:numPr>
          <w:ilvl w:val="12"/>
          <w:numId w:val="0"/>
        </w:numPr>
        <w:rPr>
          <w:sz w:val="22"/>
          <w:szCs w:val="22"/>
        </w:rPr>
      </w:pPr>
      <w:r>
        <w:rPr>
          <w:sz w:val="22"/>
          <w:szCs w:val="22"/>
        </w:rPr>
        <w:tab/>
        <w:t>The State has the burden of proving beyond a reasonable doubt that the accused did not have legal authority.</w:t>
      </w:r>
    </w:p>
    <w:p w:rsidR="000E13A9" w:rsidRDefault="000E13A9" w:rsidP="000E13A9">
      <w:pPr>
        <w:numPr>
          <w:ilvl w:val="12"/>
          <w:numId w:val="0"/>
        </w:numPr>
        <w:rPr>
          <w:sz w:val="22"/>
          <w:szCs w:val="22"/>
        </w:rPr>
      </w:pPr>
    </w:p>
    <w:p w:rsidR="000E13A9" w:rsidRDefault="000E13A9" w:rsidP="000E13A9">
      <w:pPr>
        <w:numPr>
          <w:ilvl w:val="12"/>
          <w:numId w:val="0"/>
        </w:numPr>
        <w:rPr>
          <w:sz w:val="22"/>
          <w:szCs w:val="22"/>
        </w:rPr>
      </w:pPr>
      <w:r>
        <w:rPr>
          <w:b/>
          <w:bCs/>
          <w:sz w:val="22"/>
          <w:szCs w:val="22"/>
        </w:rPr>
        <w:t>Authority:</w:t>
      </w:r>
      <w:r>
        <w:rPr>
          <w:sz w:val="22"/>
          <w:szCs w:val="22"/>
        </w:rPr>
        <w:t xml:space="preserve"> IN Pattern Jury Instruction </w:t>
      </w:r>
      <w:bookmarkStart w:id="1" w:name="_GoBack"/>
      <w:bookmarkEnd w:id="1"/>
      <w:r>
        <w:rPr>
          <w:sz w:val="22"/>
          <w:szCs w:val="22"/>
        </w:rPr>
        <w:t>10.0100.</w:t>
      </w:r>
    </w:p>
    <w:p w:rsidR="000E13A9" w:rsidRDefault="000E13A9" w:rsidP="000E13A9">
      <w:pPr>
        <w:numPr>
          <w:ilvl w:val="12"/>
          <w:numId w:val="0"/>
        </w:numPr>
        <w:rPr>
          <w:sz w:val="22"/>
          <w:szCs w:val="22"/>
        </w:rPr>
      </w:pPr>
    </w:p>
    <w:p w:rsidR="000E13A9" w:rsidRDefault="000E13A9" w:rsidP="000E13A9">
      <w:pPr>
        <w:numPr>
          <w:ilvl w:val="12"/>
          <w:numId w:val="0"/>
        </w:numPr>
        <w:rPr>
          <w:sz w:val="22"/>
          <w:szCs w:val="22"/>
        </w:rPr>
      </w:pPr>
      <w:r>
        <w:rPr>
          <w:b/>
          <w:bCs/>
          <w:sz w:val="22"/>
          <w:szCs w:val="22"/>
        </w:rPr>
        <w:t>Comments from Pattern Instruction Committee</w:t>
      </w:r>
      <w:r>
        <w:rPr>
          <w:sz w:val="22"/>
          <w:szCs w:val="22"/>
        </w:rPr>
        <w:t>:</w:t>
      </w:r>
    </w:p>
    <w:p w:rsidR="000E13A9" w:rsidRDefault="000E13A9" w:rsidP="000E13A9">
      <w:pPr>
        <w:numPr>
          <w:ilvl w:val="12"/>
          <w:numId w:val="0"/>
        </w:numPr>
        <w:rPr>
          <w:sz w:val="22"/>
          <w:szCs w:val="22"/>
        </w:rPr>
      </w:pPr>
    </w:p>
    <w:p w:rsidR="000E13A9" w:rsidRDefault="000E13A9" w:rsidP="000E13A9">
      <w:pPr>
        <w:numPr>
          <w:ilvl w:val="12"/>
          <w:numId w:val="0"/>
        </w:numPr>
        <w:rPr>
          <w:sz w:val="22"/>
          <w:szCs w:val="22"/>
        </w:rPr>
      </w:pPr>
      <w:r>
        <w:rPr>
          <w:sz w:val="22"/>
          <w:szCs w:val="22"/>
        </w:rPr>
        <w:t>This instruction was intended to incorporate legal authority that is conferred by the criminal code, case law, or other sources. An example is discipline of a child by a parent. The Committee contemplates that “applicable circumstances” will refer to the common law or statute that authorizes the otherwise criminal conduct. The Committee also contemplates that this instruction will be given in addition to the modified elements instruction that includes as an element this defense. The Committee also recommends that this instruction not be given in any case where a specific defense is provided under 35-41-3 or other statute.</w:t>
      </w:r>
    </w:p>
    <w:p w:rsidR="000E13A9" w:rsidRDefault="000E13A9" w:rsidP="000E13A9">
      <w:pPr>
        <w:numPr>
          <w:ilvl w:val="12"/>
          <w:numId w:val="0"/>
        </w:numPr>
        <w:rPr>
          <w:sz w:val="22"/>
          <w:szCs w:val="22"/>
        </w:rPr>
      </w:pPr>
    </w:p>
    <w:p w:rsidR="000E13A9" w:rsidRPr="00FF27E7" w:rsidRDefault="000E13A9" w:rsidP="000E13A9">
      <w:pPr>
        <w:numPr>
          <w:ilvl w:val="12"/>
          <w:numId w:val="0"/>
        </w:numPr>
        <w:rPr>
          <w:sz w:val="22"/>
          <w:szCs w:val="22"/>
        </w:rPr>
      </w:pPr>
      <w:r w:rsidRPr="00FF27E7">
        <w:rPr>
          <w:sz w:val="22"/>
          <w:szCs w:val="22"/>
        </w:rPr>
        <w:t xml:space="preserve">To date, the only legal authority defense addressed in </w:t>
      </w:r>
      <w:proofErr w:type="spellStart"/>
      <w:r w:rsidRPr="00FF27E7">
        <w:rPr>
          <w:sz w:val="22"/>
          <w:szCs w:val="22"/>
        </w:rPr>
        <w:t>caselaw</w:t>
      </w:r>
      <w:proofErr w:type="spellEnd"/>
      <w:r w:rsidRPr="00FF27E7">
        <w:rPr>
          <w:sz w:val="22"/>
          <w:szCs w:val="22"/>
        </w:rPr>
        <w:t xml:space="preserve"> is the authority of a parent to administer reasonable discipline which is not cruel or excessive. For this reasonable discipline defense, use </w:t>
      </w:r>
      <w:r w:rsidRPr="00A375D7">
        <w:rPr>
          <w:sz w:val="22"/>
          <w:szCs w:val="22"/>
        </w:rPr>
        <w:t>Instruction No. 10.0200</w:t>
      </w:r>
      <w:r w:rsidRPr="00FF27E7">
        <w:rPr>
          <w:sz w:val="22"/>
          <w:szCs w:val="22"/>
        </w:rPr>
        <w:t xml:space="preserve"> hereafter.</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d5ede0dc-cb1a-49dc-8989-59f4c76dc3c4"/>
  </w:docVars>
  <w:rsids>
    <w:rsidRoot w:val="00313C51"/>
    <w:rsid w:val="000E13A9"/>
    <w:rsid w:val="00313C51"/>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C97B9-BC88-456F-A2BA-8920B161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C5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3C5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3C5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E9149A42-BDC0-4B23-A6D0-8AA1FF4CAC05}"/>
</file>

<file path=customXml/itemProps2.xml><?xml version="1.0" encoding="utf-8"?>
<ds:datastoreItem xmlns:ds="http://schemas.openxmlformats.org/officeDocument/2006/customXml" ds:itemID="{3AA6D5C6-AAB3-49ED-96B5-EDC43CE7AD19}"/>
</file>

<file path=customXml/itemProps3.xml><?xml version="1.0" encoding="utf-8"?>
<ds:datastoreItem xmlns:ds="http://schemas.openxmlformats.org/officeDocument/2006/customXml" ds:itemID="{2F9C9C63-ED76-48A4-B4C9-AF2A76A7CBEA}"/>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2013-10-21T21:47:00Z</dcterms:created>
  <dcterms:modified xsi:type="dcterms:W3CDTF">2017-04-20T19:34:00Z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